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07C7CEE6" w:rsidR="00E66558" w:rsidRDefault="00C11EB4">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7"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8"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5"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" fillcolor="#f2f2f2" strokeweight=".26467mm">
                <v:textbo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9"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0"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6"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3D61234A">
        <w:t xml:space="preserve"> – Little Leigh Primary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E0B6F7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E0B6F7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0E61371" w:rsidR="002940F3" w:rsidRDefault="002A6778" w:rsidP="00C31636">
            <w:pPr>
              <w:pStyle w:val="TableRow"/>
              <w:ind w:left="0" w:right="0"/>
            </w:pPr>
            <w:r>
              <w:t>147</w:t>
            </w:r>
          </w:p>
        </w:tc>
      </w:tr>
      <w:tr w:rsidR="002940F3" w14:paraId="2A7D54BD" w14:textId="77777777" w:rsidTr="3E0B6F7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0D44CAA" w:rsidR="002940F3" w:rsidRDefault="4CBD33DE" w:rsidP="00C31636">
            <w:pPr>
              <w:pStyle w:val="TableRow"/>
              <w:ind w:left="0" w:right="0"/>
            </w:pPr>
            <w:r>
              <w:t>9.5%</w:t>
            </w:r>
          </w:p>
        </w:tc>
      </w:tr>
      <w:tr w:rsidR="002940F3" w14:paraId="2A7D54C0" w14:textId="77777777" w:rsidTr="3E0B6F7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1D8C6F8" w:rsidR="002940F3" w:rsidRDefault="002A6778" w:rsidP="00C31636">
            <w:pPr>
              <w:pStyle w:val="TableRow"/>
              <w:ind w:left="0" w:right="0"/>
            </w:pPr>
            <w:r>
              <w:t>2024/25</w:t>
            </w:r>
          </w:p>
        </w:tc>
      </w:tr>
      <w:tr w:rsidR="002940F3" w14:paraId="2A7D54C3" w14:textId="77777777" w:rsidTr="3E0B6F7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423713C" w:rsidR="002940F3" w:rsidRDefault="513180B2" w:rsidP="00C31636">
            <w:pPr>
              <w:pStyle w:val="TableRow"/>
              <w:ind w:left="0" w:right="0"/>
            </w:pPr>
            <w:r>
              <w:t>November 2024</w:t>
            </w:r>
          </w:p>
        </w:tc>
      </w:tr>
      <w:tr w:rsidR="002940F3" w14:paraId="2A7D54C6" w14:textId="77777777" w:rsidTr="3E0B6F7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6E82852" w:rsidR="002940F3" w:rsidRDefault="0D7F503E" w:rsidP="00C31636">
            <w:pPr>
              <w:pStyle w:val="TableRow"/>
              <w:ind w:left="0" w:right="0"/>
            </w:pPr>
            <w:r>
              <w:t>Nov</w:t>
            </w:r>
            <w:r w:rsidR="65558F7F">
              <w:t>ember</w:t>
            </w:r>
            <w:r>
              <w:t xml:space="preserve"> 2025</w:t>
            </w:r>
          </w:p>
        </w:tc>
      </w:tr>
      <w:tr w:rsidR="002940F3" w14:paraId="2A7D54C9" w14:textId="77777777" w:rsidTr="3E0B6F7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D6864D9" w:rsidR="002940F3" w:rsidRDefault="09E4ECA1" w:rsidP="00C31636">
            <w:pPr>
              <w:pStyle w:val="TableRow"/>
              <w:ind w:left="0" w:right="0"/>
            </w:pPr>
            <w:r>
              <w:t>LLPS LAB</w:t>
            </w:r>
          </w:p>
        </w:tc>
      </w:tr>
      <w:tr w:rsidR="002940F3" w14:paraId="2A7D54CC" w14:textId="77777777" w:rsidTr="3E0B6F7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3C0F04E" w:rsidR="002940F3" w:rsidRDefault="1C2DDBE8" w:rsidP="00C31636">
            <w:pPr>
              <w:pStyle w:val="TableRow"/>
              <w:ind w:left="0" w:right="0"/>
            </w:pPr>
            <w:r>
              <w:t xml:space="preserve">Rebecca </w:t>
            </w:r>
            <w:proofErr w:type="spellStart"/>
            <w:r>
              <w:t>Challinor</w:t>
            </w:r>
            <w:proofErr w:type="spellEnd"/>
          </w:p>
        </w:tc>
      </w:tr>
      <w:tr w:rsidR="002940F3" w14:paraId="2A7D54CF" w14:textId="77777777" w:rsidTr="3E0B6F7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76D4088" w:rsidR="002940F3" w:rsidRDefault="4B17747F" w:rsidP="00C31636">
            <w:pPr>
              <w:pStyle w:val="TableRow"/>
              <w:ind w:left="0" w:right="0"/>
            </w:pPr>
            <w:r>
              <w:t>Alistair Richards</w:t>
            </w: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3E0B6F7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3E0B6F7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612C4E2" w:rsidR="00E66558" w:rsidRDefault="009D71E8" w:rsidP="00C31636">
            <w:pPr>
              <w:pStyle w:val="TableRow"/>
              <w:ind w:left="0" w:right="0"/>
            </w:pPr>
            <w:r>
              <w:t>£</w:t>
            </w:r>
            <w:r w:rsidR="002A6778">
              <w:t>20,720</w:t>
            </w:r>
          </w:p>
        </w:tc>
      </w:tr>
      <w:tr w:rsidR="00E66558" w14:paraId="2A7D54DF" w14:textId="77777777" w:rsidTr="3E0B6F7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877044D" w:rsidR="00E66558" w:rsidRDefault="009D71E8" w:rsidP="00C31636">
            <w:pPr>
              <w:pStyle w:val="TableRow"/>
              <w:ind w:left="0" w:right="0"/>
            </w:pPr>
            <w:r>
              <w:t>£</w:t>
            </w:r>
            <w:r w:rsidR="42A65E63">
              <w:t>0</w:t>
            </w:r>
          </w:p>
        </w:tc>
      </w:tr>
      <w:tr w:rsidR="00E66558" w14:paraId="2A7D54E3" w14:textId="77777777" w:rsidTr="3E0B6F72">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FFC88DC" w:rsidR="00E66558" w:rsidRDefault="009D71E8" w:rsidP="00C31636">
            <w:pPr>
              <w:pStyle w:val="TableRow"/>
              <w:ind w:left="0" w:right="0"/>
            </w:pPr>
            <w:r>
              <w:t>£</w:t>
            </w:r>
            <w:r w:rsidR="002A6778">
              <w:t>20,720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3E0B6F72">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19C40E" w14:textId="0111103D" w:rsidR="00E66558" w:rsidRPr="002A6778" w:rsidRDefault="586D1BB0" w:rsidP="3E0B6F72">
            <w:r w:rsidRPr="002A6778">
              <w:t>Create Learning Trust Leaders have developed the following intent through the EEF’s ‘Tiered Approach to Pupil Premiu</w:t>
            </w:r>
            <w:r w:rsidR="796D719F" w:rsidRPr="002A6778">
              <w:t>m Spending’ (September 2024) and the Pupil Premium Overview (September 2024)</w:t>
            </w:r>
          </w:p>
          <w:p w14:paraId="26B56E0C" w14:textId="061B27C8" w:rsidR="00E66558" w:rsidRPr="002A6778" w:rsidRDefault="6822CDFD" w:rsidP="3E0B6F72">
            <w:pPr>
              <w:pStyle w:val="ListParagraph"/>
              <w:spacing w:after="0" w:line="276" w:lineRule="auto"/>
              <w:ind w:left="820" w:right="220" w:hanging="352"/>
              <w:rPr>
                <w:rFonts w:eastAsia="Arial" w:cs="Arial"/>
              </w:rPr>
            </w:pPr>
            <w:r w:rsidRPr="002A6778">
              <w:rPr>
                <w:rFonts w:eastAsia="Arial" w:cs="Arial"/>
              </w:rPr>
              <w:t>Ultimately, we are striving for outcomes for our disadvantaged pupils (academic and non-academic) to be in line or better with their non-disadvantaged peers.</w:t>
            </w:r>
          </w:p>
          <w:p w14:paraId="5AD1DE8C" w14:textId="77777777" w:rsidR="002A6778" w:rsidRPr="002A6778" w:rsidRDefault="002A6778" w:rsidP="002A6778">
            <w:pPr>
              <w:pStyle w:val="ListParagraph"/>
              <w:numPr>
                <w:ilvl w:val="0"/>
                <w:numId w:val="0"/>
              </w:numPr>
              <w:spacing w:after="0" w:line="276" w:lineRule="auto"/>
              <w:ind w:left="820" w:right="220"/>
              <w:rPr>
                <w:rFonts w:eastAsia="Arial" w:cs="Arial"/>
              </w:rPr>
            </w:pPr>
          </w:p>
          <w:p w14:paraId="7FCC4BC2" w14:textId="1D2B6851" w:rsidR="00E66558" w:rsidRPr="002A6778" w:rsidRDefault="6822CDFD" w:rsidP="3E0B6F72">
            <w:pPr>
              <w:pStyle w:val="ListParagraph"/>
              <w:spacing w:after="0" w:line="281" w:lineRule="auto"/>
              <w:ind w:right="340"/>
              <w:rPr>
                <w:rFonts w:eastAsia="Arial" w:cs="Arial"/>
              </w:rPr>
            </w:pPr>
            <w:r w:rsidRPr="002A6778">
              <w:rPr>
                <w:rFonts w:eastAsia="Arial" w:cs="Arial"/>
              </w:rPr>
              <w:t>All children in receipt of Pupil Premium funding will have the same exposure to quality first teaching practices in addition to targeted academic support and wider strategies.</w:t>
            </w:r>
            <w:r w:rsidR="009D71E8" w:rsidRPr="002A6778">
              <w:br/>
            </w:r>
            <w:r w:rsidR="009D71E8" w:rsidRPr="002A6778">
              <w:br/>
            </w:r>
          </w:p>
          <w:p w14:paraId="318A20EC" w14:textId="6ABC9216" w:rsidR="00E66558" w:rsidRPr="002A6778" w:rsidRDefault="6822CDFD" w:rsidP="3E0B6F72">
            <w:pPr>
              <w:pStyle w:val="ListParagraph"/>
              <w:spacing w:after="0" w:line="276" w:lineRule="auto"/>
              <w:ind w:left="820" w:right="1060" w:hanging="352"/>
              <w:rPr>
                <w:rFonts w:eastAsia="Arial" w:cs="Arial"/>
              </w:rPr>
            </w:pPr>
            <w:r w:rsidRPr="002A6778">
              <w:rPr>
                <w:rFonts w:eastAsia="Arial" w:cs="Arial"/>
              </w:rPr>
              <w:t>We will treat implementation as a process to prioritise, plan and prepare appropriately.</w:t>
            </w:r>
            <w:r w:rsidR="009D71E8" w:rsidRPr="002A6778">
              <w:br/>
            </w:r>
            <w:r w:rsidR="009D71E8" w:rsidRPr="002A6778">
              <w:br/>
            </w:r>
            <w:r w:rsidRPr="002A6778">
              <w:rPr>
                <w:rFonts w:eastAsia="Arial" w:cs="Arial"/>
              </w:rPr>
              <w:t xml:space="preserve"> </w:t>
            </w:r>
          </w:p>
          <w:p w14:paraId="728B03F2" w14:textId="7E3AD9FA" w:rsidR="00E66558" w:rsidRPr="002A6778" w:rsidRDefault="6822CDFD" w:rsidP="3E0B6F72">
            <w:pPr>
              <w:pStyle w:val="ListParagraph"/>
              <w:spacing w:after="0" w:line="276" w:lineRule="auto"/>
              <w:ind w:left="820" w:right="480" w:hanging="352"/>
              <w:rPr>
                <w:rFonts w:eastAsia="Arial" w:cs="Arial"/>
              </w:rPr>
            </w:pPr>
            <w:r w:rsidRPr="002A6778">
              <w:rPr>
                <w:rFonts w:eastAsia="Arial" w:cs="Arial"/>
              </w:rPr>
              <w:t>Effective diagnostic assessments of our disadvantaged children for academic and non-academic outcomes will be in place.</w:t>
            </w:r>
            <w:r w:rsidR="009D71E8" w:rsidRPr="002A6778">
              <w:br/>
            </w:r>
            <w:r w:rsidR="009D71E8" w:rsidRPr="002A6778">
              <w:br/>
            </w:r>
            <w:r w:rsidRPr="002A6778">
              <w:rPr>
                <w:rFonts w:eastAsia="Arial" w:cs="Arial"/>
              </w:rPr>
              <w:t xml:space="preserve"> </w:t>
            </w:r>
          </w:p>
          <w:p w14:paraId="7F97F0EF" w14:textId="791046EA" w:rsidR="00E66558" w:rsidRPr="002A6778" w:rsidRDefault="6822CDFD" w:rsidP="3E0B6F72">
            <w:pPr>
              <w:pStyle w:val="ListParagraph"/>
              <w:spacing w:after="0" w:line="276" w:lineRule="auto"/>
              <w:ind w:left="820" w:right="540" w:hanging="352"/>
              <w:rPr>
                <w:rFonts w:eastAsia="Arial" w:cs="Arial"/>
              </w:rPr>
            </w:pPr>
            <w:r w:rsidRPr="002A6778">
              <w:rPr>
                <w:rFonts w:eastAsia="Arial" w:cs="Arial"/>
              </w:rPr>
              <w:t>Following assessments school leaders will identify who needs intervention to close any emerging gaps and a targeted intervention plan will be produced.</w:t>
            </w:r>
            <w:r w:rsidR="009D71E8" w:rsidRPr="002A6778">
              <w:br/>
            </w:r>
            <w:r w:rsidR="009D71E8" w:rsidRPr="002A6778">
              <w:br/>
            </w:r>
            <w:r w:rsidRPr="002A6778">
              <w:rPr>
                <w:rFonts w:eastAsia="Arial" w:cs="Arial"/>
              </w:rPr>
              <w:t xml:space="preserve"> </w:t>
            </w:r>
          </w:p>
          <w:p w14:paraId="27B94980" w14:textId="78C252A4" w:rsidR="00E66558" w:rsidRPr="00AF0618" w:rsidRDefault="6822CDFD" w:rsidP="3E0B6F72">
            <w:pPr>
              <w:pStyle w:val="ListParagraph"/>
              <w:spacing w:after="0" w:line="276" w:lineRule="auto"/>
              <w:ind w:left="820" w:right="760" w:hanging="352"/>
              <w:rPr>
                <w:rFonts w:eastAsia="Arial" w:cs="Arial"/>
              </w:rPr>
            </w:pPr>
            <w:r w:rsidRPr="002A6778">
              <w:rPr>
                <w:rFonts w:eastAsia="Arial" w:cs="Arial"/>
              </w:rPr>
              <w:t>School leaders will build a culture of clear and sustainable implementation, ensuring the deployment of key staff are working with priority children.</w:t>
            </w:r>
            <w:r w:rsidR="009D71E8" w:rsidRPr="002A6778">
              <w:br/>
            </w:r>
            <w:r w:rsidR="009D71E8" w:rsidRPr="002A6778">
              <w:br/>
            </w:r>
            <w:r w:rsidRPr="3E0B6F72">
              <w:rPr>
                <w:rFonts w:eastAsia="Arial" w:cs="Arial"/>
              </w:rPr>
              <w:t xml:space="preserve"> </w:t>
            </w:r>
          </w:p>
          <w:p w14:paraId="6FF64E66" w14:textId="0C75B018" w:rsidR="00E66558" w:rsidRPr="00AF0618" w:rsidRDefault="6822CDFD" w:rsidP="3E0B6F72">
            <w:pPr>
              <w:pStyle w:val="ListParagraph"/>
              <w:spacing w:after="0" w:line="276" w:lineRule="auto"/>
              <w:ind w:left="820" w:right="240" w:hanging="352"/>
              <w:rPr>
                <w:rFonts w:eastAsia="Arial" w:cs="Arial"/>
              </w:rPr>
            </w:pPr>
            <w:r w:rsidRPr="3E0B6F72">
              <w:rPr>
                <w:rFonts w:eastAsia="Arial" w:cs="Arial"/>
              </w:rPr>
              <w:t>We will make evidenced informed decisions on what to implement when and by whom.</w:t>
            </w:r>
            <w:r w:rsidR="009D71E8">
              <w:br/>
            </w:r>
            <w:r w:rsidR="009D71E8">
              <w:br/>
            </w:r>
            <w:r w:rsidRPr="3E0B6F72">
              <w:rPr>
                <w:rFonts w:eastAsia="Arial" w:cs="Arial"/>
              </w:rPr>
              <w:t xml:space="preserve"> </w:t>
            </w:r>
          </w:p>
          <w:p w14:paraId="3F8F3B3C" w14:textId="08E04005" w:rsidR="00E66558" w:rsidRPr="00AF0618" w:rsidRDefault="6822CDFD" w:rsidP="3E0B6F72">
            <w:pPr>
              <w:pStyle w:val="ListParagraph"/>
              <w:spacing w:after="0" w:line="281" w:lineRule="auto"/>
              <w:ind w:left="820" w:right="520" w:hanging="352"/>
              <w:rPr>
                <w:rFonts w:eastAsia="Arial" w:cs="Arial"/>
              </w:rPr>
            </w:pPr>
            <w:r w:rsidRPr="3E0B6F72">
              <w:rPr>
                <w:rFonts w:eastAsia="Arial" w:cs="Arial"/>
              </w:rPr>
              <w:t>We will regularly monitor the impact of additional interventions and strategies used – ensuring we adapt any strategies and processes. These will be monitored and reported termly.</w:t>
            </w:r>
            <w:r w:rsidR="009D71E8">
              <w:br/>
            </w:r>
            <w:r w:rsidR="009D71E8">
              <w:br/>
            </w:r>
            <w:r w:rsidRPr="3E0B6F72">
              <w:rPr>
                <w:rFonts w:eastAsia="Arial" w:cs="Arial"/>
              </w:rPr>
              <w:t xml:space="preserve"> </w:t>
            </w:r>
          </w:p>
          <w:p w14:paraId="68C3938D" w14:textId="54FF4DAC" w:rsidR="00E66558" w:rsidRPr="00AF0618" w:rsidRDefault="6822CDFD" w:rsidP="3E0B6F72">
            <w:pPr>
              <w:pStyle w:val="ListParagraph"/>
              <w:spacing w:after="0" w:line="276" w:lineRule="auto"/>
              <w:ind w:left="820" w:right="380" w:hanging="352"/>
              <w:rPr>
                <w:rFonts w:eastAsia="Arial" w:cs="Arial"/>
              </w:rPr>
            </w:pPr>
            <w:r w:rsidRPr="3E0B6F72">
              <w:rPr>
                <w:rFonts w:eastAsia="Arial" w:cs="Arial"/>
              </w:rPr>
              <w:lastRenderedPageBreak/>
              <w:t>We will ensure that we evaluate our strategy regularly as what works one year may not work the next year.</w:t>
            </w:r>
            <w:r w:rsidR="009D71E8">
              <w:br/>
            </w:r>
            <w:r w:rsidR="009D71E8">
              <w:br/>
            </w:r>
            <w:r w:rsidRPr="3E0B6F72">
              <w:rPr>
                <w:rFonts w:eastAsia="Arial" w:cs="Arial"/>
              </w:rPr>
              <w:t xml:space="preserve"> </w:t>
            </w:r>
          </w:p>
          <w:p w14:paraId="37AD2833" w14:textId="0422991E" w:rsidR="00E66558" w:rsidRDefault="6822CDFD" w:rsidP="3E0B6F72">
            <w:pPr>
              <w:pStyle w:val="ListParagraph"/>
              <w:spacing w:after="0" w:line="281" w:lineRule="auto"/>
              <w:ind w:left="820" w:right="160" w:hanging="352"/>
              <w:rPr>
                <w:rFonts w:eastAsia="Arial" w:cs="Arial"/>
              </w:rPr>
            </w:pPr>
            <w:r w:rsidRPr="3E0B6F72">
              <w:rPr>
                <w:rFonts w:eastAsia="Arial" w:cs="Arial"/>
              </w:rPr>
              <w:t>A full review will be conducted annually to evaluate the overarching strategy and measure the success based on outcomes for our disadvantaged pupils. We will report outcomes against a robust and evaluative framework.</w:t>
            </w:r>
          </w:p>
          <w:p w14:paraId="3E58D3D0" w14:textId="77777777" w:rsidR="002A6778" w:rsidRPr="00AF0618" w:rsidRDefault="002A6778" w:rsidP="002A6778">
            <w:pPr>
              <w:pStyle w:val="ListParagraph"/>
              <w:numPr>
                <w:ilvl w:val="0"/>
                <w:numId w:val="0"/>
              </w:numPr>
              <w:spacing w:after="0" w:line="281" w:lineRule="auto"/>
              <w:ind w:left="820" w:right="160"/>
              <w:rPr>
                <w:rFonts w:eastAsia="Arial" w:cs="Arial"/>
              </w:rPr>
            </w:pPr>
          </w:p>
          <w:p w14:paraId="17BD4484" w14:textId="77777777" w:rsidR="00E66558" w:rsidRDefault="6822CDFD" w:rsidP="3E0B6F72">
            <w:pPr>
              <w:pStyle w:val="ListParagraph"/>
              <w:spacing w:after="0" w:line="281" w:lineRule="auto"/>
              <w:ind w:left="820" w:right="160" w:hanging="352"/>
              <w:rPr>
                <w:rFonts w:eastAsia="Arial" w:cs="Arial"/>
              </w:rPr>
            </w:pPr>
            <w:r w:rsidRPr="3E0B6F72">
              <w:rPr>
                <w:rFonts w:eastAsia="Arial" w:cs="Arial"/>
              </w:rPr>
              <w:t xml:space="preserve">Professional Development will support the implementation of evidence-based approaches to improve outcomes for those in receipt of the Pupil Premium Grant. </w:t>
            </w:r>
          </w:p>
          <w:p w14:paraId="2A7D54E9" w14:textId="22D67117" w:rsidR="002A6778" w:rsidRPr="002A6778" w:rsidRDefault="002A6778" w:rsidP="002A6778">
            <w:pPr>
              <w:pStyle w:val="ListParagraph"/>
              <w:numPr>
                <w:ilvl w:val="0"/>
                <w:numId w:val="0"/>
              </w:numPr>
              <w:ind w:left="720"/>
              <w:rPr>
                <w:rFonts w:eastAsia="Arial" w:cs="Arial"/>
              </w:rPr>
            </w:pP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3E0B6F7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rsidTr="3E0B6F7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423C22C9" w:rsidR="00E66558" w:rsidRPr="00EB1CCA" w:rsidRDefault="74255097" w:rsidP="3E0B6F72">
            <w:pPr>
              <w:pStyle w:val="TableRowCentered"/>
              <w:ind w:left="0" w:right="0"/>
              <w:jc w:val="left"/>
              <w:rPr>
                <w:rFonts w:eastAsia="Arial" w:cs="Arial"/>
                <w:iCs/>
                <w:sz w:val="22"/>
                <w:szCs w:val="22"/>
              </w:rPr>
            </w:pPr>
            <w:r w:rsidRPr="00EB1CCA">
              <w:rPr>
                <w:rFonts w:eastAsia="Arial" w:cs="Arial"/>
                <w:iCs/>
                <w:sz w:val="22"/>
                <w:szCs w:val="22"/>
              </w:rPr>
              <w:t>Attendance</w:t>
            </w:r>
          </w:p>
        </w:tc>
      </w:tr>
      <w:tr w:rsidR="00E66558" w14:paraId="2A7D54F5" w14:textId="77777777" w:rsidTr="3E0B6F7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4C1D0ED" w:rsidR="00E66558" w:rsidRDefault="53EB7AEE" w:rsidP="00C31636">
            <w:pPr>
              <w:pStyle w:val="TableRowCentered"/>
              <w:ind w:left="0" w:right="0"/>
              <w:jc w:val="left"/>
              <w:rPr>
                <w:sz w:val="22"/>
                <w:szCs w:val="22"/>
              </w:rPr>
            </w:pPr>
            <w:r w:rsidRPr="3E0B6F72">
              <w:rPr>
                <w:sz w:val="22"/>
                <w:szCs w:val="22"/>
              </w:rPr>
              <w:t>Academic Achievement &amp; Attainment</w:t>
            </w:r>
          </w:p>
        </w:tc>
      </w:tr>
      <w:tr w:rsidR="00E66558" w14:paraId="2A7D54F8" w14:textId="77777777" w:rsidTr="3E0B6F7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5DB4038F" w:rsidR="00E66558" w:rsidRDefault="24A0E84F" w:rsidP="00C31636">
            <w:pPr>
              <w:pStyle w:val="TableRowCentered"/>
              <w:ind w:left="0" w:right="0"/>
              <w:jc w:val="left"/>
              <w:rPr>
                <w:sz w:val="22"/>
                <w:szCs w:val="22"/>
              </w:rPr>
            </w:pPr>
            <w:r w:rsidRPr="3E0B6F72">
              <w:rPr>
                <w:sz w:val="22"/>
                <w:szCs w:val="22"/>
              </w:rPr>
              <w:t>Resilience</w:t>
            </w:r>
          </w:p>
        </w:tc>
      </w:tr>
      <w:tr w:rsidR="00E66558" w14:paraId="2A7D54FB" w14:textId="77777777" w:rsidTr="3E0B6F7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5EBF97B7" w:rsidR="00E66558" w:rsidRDefault="00EB1CCA" w:rsidP="00C31636">
            <w:pPr>
              <w:pStyle w:val="TableRowCentered"/>
              <w:ind w:left="0" w:right="0"/>
              <w:jc w:val="left"/>
              <w:rPr>
                <w:iCs/>
                <w:sz w:val="22"/>
              </w:rPr>
            </w:pPr>
            <w:r>
              <w:rPr>
                <w:iCs/>
                <w:sz w:val="22"/>
              </w:rPr>
              <w:t>Financial Challenge for Families</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3A2EA0F" w:rsidR="00E66558" w:rsidRPr="00EB1CCA" w:rsidRDefault="00560BB3" w:rsidP="00C31636">
            <w:pPr>
              <w:pStyle w:val="TableRow"/>
              <w:ind w:left="0" w:right="0"/>
            </w:pPr>
            <w:r w:rsidRPr="00EB1CCA">
              <w:rPr>
                <w:iCs/>
                <w:sz w:val="22"/>
                <w:szCs w:val="22"/>
              </w:rPr>
              <w:t xml:space="preserve">Attendance of PP children will be at least in line with non-disadvantaged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14A4C" w14:textId="7E59C940" w:rsidR="00CE6895" w:rsidRDefault="00CE6895" w:rsidP="00C31636">
            <w:pPr>
              <w:pStyle w:val="TableRowCentered"/>
              <w:ind w:left="0" w:right="0"/>
              <w:jc w:val="left"/>
              <w:rPr>
                <w:sz w:val="22"/>
                <w:szCs w:val="22"/>
              </w:rPr>
            </w:pPr>
            <w:r>
              <w:rPr>
                <w:sz w:val="22"/>
                <w:szCs w:val="22"/>
              </w:rPr>
              <w:t xml:space="preserve">Insight data shows that attendance of PP children is at least good. </w:t>
            </w:r>
          </w:p>
          <w:p w14:paraId="630CFD82" w14:textId="77777777" w:rsidR="00CE6895" w:rsidRDefault="00CE6895" w:rsidP="00C31636">
            <w:pPr>
              <w:pStyle w:val="TableRowCentered"/>
              <w:ind w:left="0" w:right="0"/>
              <w:jc w:val="left"/>
              <w:rPr>
                <w:sz w:val="22"/>
                <w:szCs w:val="22"/>
              </w:rPr>
            </w:pPr>
          </w:p>
          <w:p w14:paraId="0CD54A32" w14:textId="3E792871" w:rsidR="00E66558" w:rsidRDefault="00560BB3" w:rsidP="00C31636">
            <w:pPr>
              <w:pStyle w:val="TableRowCentered"/>
              <w:ind w:left="0" w:right="0"/>
              <w:jc w:val="left"/>
              <w:rPr>
                <w:sz w:val="22"/>
                <w:szCs w:val="22"/>
              </w:rPr>
            </w:pPr>
            <w:r>
              <w:rPr>
                <w:sz w:val="22"/>
                <w:szCs w:val="22"/>
              </w:rPr>
              <w:t>Attendance Policy updated in line with current guidance ‘DfE Working Together to Improve Attendance’ (August 2024)</w:t>
            </w:r>
          </w:p>
          <w:p w14:paraId="4095EE02" w14:textId="77777777" w:rsidR="00560BB3" w:rsidRDefault="00560BB3" w:rsidP="00C31636">
            <w:pPr>
              <w:pStyle w:val="TableRowCentered"/>
              <w:ind w:left="0" w:right="0"/>
              <w:jc w:val="left"/>
              <w:rPr>
                <w:sz w:val="22"/>
                <w:szCs w:val="22"/>
              </w:rPr>
            </w:pPr>
            <w:r>
              <w:rPr>
                <w:sz w:val="22"/>
                <w:szCs w:val="22"/>
              </w:rPr>
              <w:t>Key staff in school have strategic responsibility in school for monitoring and improving attendance.</w:t>
            </w:r>
          </w:p>
          <w:p w14:paraId="41D955AB" w14:textId="3B574F4B" w:rsidR="00560BB3" w:rsidRDefault="00560BB3" w:rsidP="00C31636">
            <w:pPr>
              <w:pStyle w:val="TableRowCentered"/>
              <w:ind w:left="0" w:right="0"/>
              <w:jc w:val="left"/>
              <w:rPr>
                <w:sz w:val="22"/>
                <w:szCs w:val="22"/>
              </w:rPr>
            </w:pPr>
            <w:r>
              <w:rPr>
                <w:sz w:val="22"/>
                <w:szCs w:val="22"/>
              </w:rPr>
              <w:t xml:space="preserve">All key documents and school expectations shared regularly with parents </w:t>
            </w:r>
            <w:proofErr w:type="gramStart"/>
            <w:r>
              <w:rPr>
                <w:sz w:val="22"/>
                <w:szCs w:val="22"/>
              </w:rPr>
              <w:t>e.g.</w:t>
            </w:r>
            <w:proofErr w:type="gramEnd"/>
            <w:r>
              <w:rPr>
                <w:sz w:val="22"/>
                <w:szCs w:val="22"/>
              </w:rPr>
              <w:t xml:space="preserve"> updated policies, newsletters</w:t>
            </w:r>
            <w:r w:rsidR="002A6778">
              <w:rPr>
                <w:sz w:val="22"/>
                <w:szCs w:val="22"/>
              </w:rPr>
              <w:t xml:space="preserve"> etc.</w:t>
            </w:r>
          </w:p>
          <w:p w14:paraId="1F89B2C9" w14:textId="489DB891" w:rsidR="005C3BE8" w:rsidRDefault="005C3BE8" w:rsidP="00C31636">
            <w:pPr>
              <w:pStyle w:val="TableRowCentered"/>
              <w:ind w:left="0" w:right="0"/>
              <w:jc w:val="left"/>
              <w:rPr>
                <w:sz w:val="22"/>
                <w:szCs w:val="22"/>
              </w:rPr>
            </w:pPr>
            <w:r>
              <w:rPr>
                <w:sz w:val="22"/>
                <w:szCs w:val="22"/>
              </w:rPr>
              <w:lastRenderedPageBreak/>
              <w:t>Staff are aware of potential barriers to learning and ‘push and pull’ factors are considered when identifying strategies to improve children’s attendance</w:t>
            </w:r>
          </w:p>
          <w:p w14:paraId="2A7D5505" w14:textId="46836F72" w:rsidR="00560BB3" w:rsidRDefault="00560BB3" w:rsidP="00C31636">
            <w:pPr>
              <w:pStyle w:val="TableRowCentered"/>
              <w:ind w:left="0" w:right="0"/>
              <w:jc w:val="left"/>
              <w:rPr>
                <w:sz w:val="22"/>
                <w:szCs w:val="22"/>
              </w:rPr>
            </w:pPr>
            <w:r>
              <w:rPr>
                <w:sz w:val="22"/>
                <w:szCs w:val="22"/>
              </w:rPr>
              <w:t>FSW supports targeted families whose attendance is below ‘average’ or at risk of falling below ‘average’</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796E016" w:rsidR="00E66558" w:rsidRDefault="00CE6895" w:rsidP="00C31636">
            <w:pPr>
              <w:pStyle w:val="TableRow"/>
              <w:ind w:left="0" w:right="0"/>
              <w:rPr>
                <w:sz w:val="22"/>
                <w:szCs w:val="22"/>
              </w:rPr>
            </w:pPr>
            <w:r>
              <w:rPr>
                <w:sz w:val="22"/>
                <w:szCs w:val="22"/>
              </w:rPr>
              <w:lastRenderedPageBreak/>
              <w:t xml:space="preserve">The emotional </w:t>
            </w:r>
            <w:r w:rsidR="00560BB3">
              <w:rPr>
                <w:sz w:val="22"/>
                <w:szCs w:val="22"/>
              </w:rPr>
              <w:t xml:space="preserve">needs </w:t>
            </w:r>
            <w:r>
              <w:rPr>
                <w:sz w:val="22"/>
                <w:szCs w:val="22"/>
              </w:rPr>
              <w:t xml:space="preserve">of those in receipt of PP </w:t>
            </w:r>
            <w:r w:rsidR="00560BB3">
              <w:rPr>
                <w:sz w:val="22"/>
                <w:szCs w:val="22"/>
              </w:rPr>
              <w:t>are well supported through targeted intervention</w:t>
            </w:r>
            <w:r w:rsidR="002D5C46">
              <w:rPr>
                <w:sz w:val="22"/>
                <w:szCs w:val="22"/>
              </w:rPr>
              <w:t xml:space="preserve"> and teaching approaches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1774C" w14:textId="7871341A" w:rsidR="00CE6895" w:rsidRDefault="00CE6895" w:rsidP="00C31636">
            <w:pPr>
              <w:pStyle w:val="TableRowCentered"/>
              <w:ind w:left="0" w:right="0"/>
              <w:jc w:val="left"/>
              <w:rPr>
                <w:sz w:val="22"/>
                <w:szCs w:val="22"/>
              </w:rPr>
            </w:pPr>
            <w:r>
              <w:rPr>
                <w:sz w:val="22"/>
                <w:szCs w:val="22"/>
              </w:rPr>
              <w:t>Children in receipt of PP demonstrate good levels of resilience across their learning, social interactions and play</w:t>
            </w:r>
          </w:p>
          <w:p w14:paraId="693EBB3B" w14:textId="77777777" w:rsidR="00CE6895" w:rsidRDefault="00CE6895" w:rsidP="00C31636">
            <w:pPr>
              <w:pStyle w:val="TableRowCentered"/>
              <w:ind w:left="0" w:right="0"/>
              <w:jc w:val="left"/>
              <w:rPr>
                <w:sz w:val="22"/>
                <w:szCs w:val="22"/>
              </w:rPr>
            </w:pPr>
          </w:p>
          <w:p w14:paraId="68BAA697" w14:textId="302A7E5E" w:rsidR="00E66558" w:rsidRDefault="00560BB3" w:rsidP="00C31636">
            <w:pPr>
              <w:pStyle w:val="TableRowCentered"/>
              <w:ind w:left="0" w:right="0"/>
              <w:jc w:val="left"/>
              <w:rPr>
                <w:sz w:val="22"/>
                <w:szCs w:val="22"/>
              </w:rPr>
            </w:pPr>
            <w:r>
              <w:rPr>
                <w:sz w:val="22"/>
                <w:szCs w:val="22"/>
              </w:rPr>
              <w:t xml:space="preserve">A range of whole class, group and 1:1 non-academic </w:t>
            </w:r>
            <w:proofErr w:type="gramStart"/>
            <w:r>
              <w:rPr>
                <w:sz w:val="22"/>
                <w:szCs w:val="22"/>
              </w:rPr>
              <w:t>interventions</w:t>
            </w:r>
            <w:proofErr w:type="gramEnd"/>
            <w:r>
              <w:rPr>
                <w:sz w:val="22"/>
                <w:szCs w:val="22"/>
              </w:rPr>
              <w:t xml:space="preserve"> are employed </w:t>
            </w:r>
            <w:r w:rsidR="002A6778">
              <w:rPr>
                <w:sz w:val="22"/>
                <w:szCs w:val="22"/>
              </w:rPr>
              <w:t xml:space="preserve">and delivered </w:t>
            </w:r>
            <w:r>
              <w:rPr>
                <w:sz w:val="22"/>
                <w:szCs w:val="22"/>
              </w:rPr>
              <w:t xml:space="preserve">e.g. ELSA, </w:t>
            </w:r>
            <w:r w:rsidR="002D5C46">
              <w:rPr>
                <w:sz w:val="22"/>
                <w:szCs w:val="22"/>
              </w:rPr>
              <w:t>Socially Speaking,</w:t>
            </w:r>
            <w:r w:rsidR="002A6778">
              <w:rPr>
                <w:sz w:val="22"/>
                <w:szCs w:val="22"/>
              </w:rPr>
              <w:t xml:space="preserve"> Commando Joe’s</w:t>
            </w:r>
          </w:p>
          <w:p w14:paraId="5B4AAD64" w14:textId="7C47467E" w:rsidR="002D5C46" w:rsidRDefault="002D5C46" w:rsidP="00C31636">
            <w:pPr>
              <w:pStyle w:val="TableRowCentered"/>
              <w:ind w:left="0" w:right="0"/>
              <w:jc w:val="left"/>
              <w:rPr>
                <w:sz w:val="22"/>
                <w:szCs w:val="22"/>
              </w:rPr>
            </w:pPr>
            <w:r>
              <w:rPr>
                <w:sz w:val="22"/>
                <w:szCs w:val="22"/>
              </w:rPr>
              <w:t xml:space="preserve">Termly/half-termly wellbeing team meetings take place to monitor the impact of non-academic interventions and identify candidates for future targeted support. </w:t>
            </w:r>
          </w:p>
          <w:p w14:paraId="32DECA78" w14:textId="0068F254" w:rsidR="002D5C46" w:rsidRDefault="002D5C46" w:rsidP="00C31636">
            <w:pPr>
              <w:pStyle w:val="TableRowCentered"/>
              <w:ind w:left="0" w:right="0"/>
              <w:jc w:val="left"/>
              <w:rPr>
                <w:sz w:val="22"/>
                <w:szCs w:val="22"/>
              </w:rPr>
            </w:pPr>
            <w:r>
              <w:rPr>
                <w:sz w:val="22"/>
                <w:szCs w:val="22"/>
              </w:rPr>
              <w:t>INSIGHT</w:t>
            </w:r>
            <w:r w:rsidR="002A6778">
              <w:rPr>
                <w:sz w:val="22"/>
                <w:szCs w:val="22"/>
              </w:rPr>
              <w:t xml:space="preserve"> is used effectively to record interventions and their impact</w:t>
            </w:r>
          </w:p>
          <w:p w14:paraId="69130DC9" w14:textId="77777777" w:rsidR="002D5C46" w:rsidRDefault="002D5C46" w:rsidP="00C31636">
            <w:pPr>
              <w:pStyle w:val="TableRowCentered"/>
              <w:ind w:left="0" w:right="0"/>
              <w:jc w:val="left"/>
              <w:rPr>
                <w:sz w:val="22"/>
                <w:szCs w:val="22"/>
              </w:rPr>
            </w:pPr>
            <w:r>
              <w:rPr>
                <w:sz w:val="22"/>
                <w:szCs w:val="22"/>
              </w:rPr>
              <w:t xml:space="preserve">Impact of intervention indicates increased confidence, resilience and engagement in school life. </w:t>
            </w:r>
          </w:p>
          <w:p w14:paraId="4B914902" w14:textId="77777777" w:rsidR="002D5C46" w:rsidRDefault="002D5C46" w:rsidP="00C31636">
            <w:pPr>
              <w:pStyle w:val="TableRowCentered"/>
              <w:ind w:left="0" w:right="0"/>
              <w:jc w:val="left"/>
              <w:rPr>
                <w:sz w:val="22"/>
                <w:szCs w:val="22"/>
              </w:rPr>
            </w:pPr>
            <w:r>
              <w:rPr>
                <w:sz w:val="22"/>
                <w:szCs w:val="22"/>
              </w:rPr>
              <w:t xml:space="preserve">This will be evidenced by pupil voice, parent surveys, CPOMs analysis, teacher observations. </w:t>
            </w:r>
          </w:p>
          <w:p w14:paraId="53B47F84" w14:textId="77372BE1" w:rsidR="002D5C46" w:rsidRDefault="002D5C46" w:rsidP="00C31636">
            <w:pPr>
              <w:pStyle w:val="TableRowCentered"/>
              <w:ind w:left="0" w:right="0"/>
              <w:jc w:val="left"/>
              <w:rPr>
                <w:sz w:val="22"/>
                <w:szCs w:val="22"/>
              </w:rPr>
            </w:pPr>
            <w:r>
              <w:rPr>
                <w:sz w:val="22"/>
                <w:szCs w:val="22"/>
              </w:rPr>
              <w:t>Zones of regulation will be introduced across the school to facilitat</w:t>
            </w:r>
            <w:r w:rsidR="002A6778">
              <w:rPr>
                <w:sz w:val="22"/>
                <w:szCs w:val="22"/>
              </w:rPr>
              <w:t xml:space="preserve">e </w:t>
            </w:r>
          </w:p>
          <w:p w14:paraId="2A7D5508" w14:textId="02FB59EA" w:rsidR="002D5C46" w:rsidRDefault="002D5C46" w:rsidP="00C31636">
            <w:pPr>
              <w:pStyle w:val="TableRowCentered"/>
              <w:ind w:left="0" w:right="0"/>
              <w:jc w:val="left"/>
              <w:rPr>
                <w:sz w:val="22"/>
                <w:szCs w:val="22"/>
              </w:rPr>
            </w:pPr>
            <w:r>
              <w:rPr>
                <w:sz w:val="22"/>
                <w:szCs w:val="22"/>
              </w:rPr>
              <w:t xml:space="preserve">Staff trained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055E307" w:rsidR="00E66558" w:rsidRDefault="00EB1CCA" w:rsidP="00C31636">
            <w:pPr>
              <w:pStyle w:val="TableRow"/>
              <w:ind w:left="0" w:right="0"/>
              <w:rPr>
                <w:sz w:val="22"/>
                <w:szCs w:val="22"/>
              </w:rPr>
            </w:pPr>
            <w:r>
              <w:rPr>
                <w:sz w:val="22"/>
                <w:szCs w:val="22"/>
              </w:rPr>
              <w:t>Achievement &amp; attainment of those in receipt of pupil premium is at least in line with ‘average’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DAFCF" w14:textId="2ACFCE3D" w:rsidR="00CE6895" w:rsidRDefault="00CE6895" w:rsidP="00C31636">
            <w:pPr>
              <w:pStyle w:val="TableRowCentered"/>
              <w:ind w:left="0" w:right="0"/>
              <w:jc w:val="left"/>
              <w:rPr>
                <w:sz w:val="22"/>
                <w:szCs w:val="22"/>
              </w:rPr>
            </w:pPr>
            <w:r>
              <w:rPr>
                <w:sz w:val="22"/>
                <w:szCs w:val="22"/>
              </w:rPr>
              <w:t>Children in receipt of PP make at least good progress and attain well when compared to children not in receipt of PP.</w:t>
            </w:r>
          </w:p>
          <w:p w14:paraId="280CD117" w14:textId="77777777" w:rsidR="00CE6895" w:rsidRDefault="00CE6895" w:rsidP="00C31636">
            <w:pPr>
              <w:pStyle w:val="TableRowCentered"/>
              <w:ind w:left="0" w:right="0"/>
              <w:jc w:val="left"/>
              <w:rPr>
                <w:sz w:val="22"/>
                <w:szCs w:val="22"/>
              </w:rPr>
            </w:pPr>
          </w:p>
          <w:p w14:paraId="176A9C0E" w14:textId="6ABE77F5" w:rsidR="00E66558" w:rsidRDefault="00EB1CCA" w:rsidP="00C31636">
            <w:pPr>
              <w:pStyle w:val="TableRowCentered"/>
              <w:ind w:left="0" w:right="0"/>
              <w:jc w:val="left"/>
              <w:rPr>
                <w:sz w:val="22"/>
                <w:szCs w:val="22"/>
              </w:rPr>
            </w:pPr>
            <w:r>
              <w:rPr>
                <w:sz w:val="22"/>
                <w:szCs w:val="22"/>
              </w:rPr>
              <w:t>Learners in receipt of PP are monitored as a specific cohort in progress meetings</w:t>
            </w:r>
          </w:p>
          <w:p w14:paraId="65025A83" w14:textId="5F4C7534" w:rsidR="00EB1CCA" w:rsidRDefault="00EB1CCA" w:rsidP="00C31636">
            <w:pPr>
              <w:pStyle w:val="TableRowCentered"/>
              <w:ind w:left="0" w:right="0"/>
              <w:jc w:val="left"/>
              <w:rPr>
                <w:sz w:val="22"/>
                <w:szCs w:val="22"/>
              </w:rPr>
            </w:pPr>
            <w:r>
              <w:rPr>
                <w:sz w:val="22"/>
                <w:szCs w:val="22"/>
              </w:rPr>
              <w:t>Learners in receipt of PP are monitored as a specific cohort by leaders at all levels</w:t>
            </w:r>
          </w:p>
          <w:p w14:paraId="3CA0E8C1" w14:textId="77777777" w:rsidR="00EB1CCA" w:rsidRDefault="00EB1CCA" w:rsidP="00C31636">
            <w:pPr>
              <w:pStyle w:val="TableRowCentered"/>
              <w:ind w:left="0" w:right="0"/>
              <w:jc w:val="left"/>
              <w:rPr>
                <w:sz w:val="22"/>
                <w:szCs w:val="22"/>
              </w:rPr>
            </w:pPr>
            <w:r>
              <w:rPr>
                <w:sz w:val="22"/>
                <w:szCs w:val="22"/>
              </w:rPr>
              <w:t>Next steps and interventions are put in place where gaps are identified or pupils are not making sufficient progress</w:t>
            </w:r>
          </w:p>
          <w:p w14:paraId="33AAB61B" w14:textId="77777777" w:rsidR="00EB1CCA" w:rsidRDefault="00EB1CCA" w:rsidP="00C31636">
            <w:pPr>
              <w:pStyle w:val="TableRowCentered"/>
              <w:ind w:left="0" w:right="0"/>
              <w:jc w:val="left"/>
              <w:rPr>
                <w:sz w:val="22"/>
                <w:szCs w:val="22"/>
              </w:rPr>
            </w:pPr>
            <w:r>
              <w:rPr>
                <w:sz w:val="22"/>
                <w:szCs w:val="22"/>
              </w:rPr>
              <w:t xml:space="preserve">Additional adults are deployed strategically to positively impact on progress </w:t>
            </w:r>
            <w:r w:rsidR="00F0104F">
              <w:rPr>
                <w:sz w:val="22"/>
                <w:szCs w:val="22"/>
              </w:rPr>
              <w:t>and outcomes</w:t>
            </w:r>
          </w:p>
          <w:p w14:paraId="6F917DF7" w14:textId="77777777" w:rsidR="00F0104F" w:rsidRDefault="00F0104F" w:rsidP="00C31636">
            <w:pPr>
              <w:pStyle w:val="TableRowCentered"/>
              <w:ind w:left="0" w:right="0"/>
              <w:jc w:val="left"/>
              <w:rPr>
                <w:sz w:val="22"/>
                <w:szCs w:val="22"/>
              </w:rPr>
            </w:pPr>
            <w:r>
              <w:rPr>
                <w:sz w:val="22"/>
                <w:szCs w:val="22"/>
              </w:rPr>
              <w:t>Insight is used to monitor and track progress effectively and record interventions and their impact</w:t>
            </w:r>
          </w:p>
          <w:p w14:paraId="2A7D550B" w14:textId="3B54452D" w:rsidR="00F0104F" w:rsidRDefault="00F0104F" w:rsidP="00C31636">
            <w:pPr>
              <w:pStyle w:val="TableRowCentered"/>
              <w:ind w:left="0" w:right="0"/>
              <w:jc w:val="left"/>
              <w:rPr>
                <w:sz w:val="22"/>
                <w:szCs w:val="22"/>
              </w:rPr>
            </w:pPr>
            <w:r>
              <w:rPr>
                <w:sz w:val="22"/>
                <w:szCs w:val="22"/>
              </w:rPr>
              <w:t xml:space="preserve">Progress meetings at key intervals throughout the year ensure that learners who are not making expected progress or do not meet ARE </w:t>
            </w:r>
            <w:proofErr w:type="spellStart"/>
            <w:r>
              <w:rPr>
                <w:sz w:val="22"/>
                <w:szCs w:val="22"/>
              </w:rPr>
              <w:t>are</w:t>
            </w:r>
            <w:proofErr w:type="spellEnd"/>
            <w:r>
              <w:rPr>
                <w:sz w:val="22"/>
                <w:szCs w:val="22"/>
              </w:rPr>
              <w:t xml:space="preserve"> identified and swift and effective intervention is put in place.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54B700D" w:rsidR="00E66558" w:rsidRDefault="005C3BE8" w:rsidP="00C31636">
            <w:pPr>
              <w:pStyle w:val="TableRow"/>
              <w:ind w:left="0" w:right="0"/>
              <w:rPr>
                <w:sz w:val="22"/>
                <w:szCs w:val="22"/>
              </w:rPr>
            </w:pPr>
            <w:r>
              <w:rPr>
                <w:sz w:val="22"/>
                <w:szCs w:val="22"/>
              </w:rPr>
              <w:lastRenderedPageBreak/>
              <w:t>Financial challenge for those in receipt of Pupil Premium Funding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FC5F111" w:rsidR="00E66558" w:rsidRDefault="00CE6895" w:rsidP="00C31636">
            <w:pPr>
              <w:pStyle w:val="TableRowCentered"/>
              <w:ind w:left="0" w:right="0"/>
              <w:jc w:val="left"/>
              <w:rPr>
                <w:sz w:val="22"/>
                <w:szCs w:val="22"/>
              </w:rPr>
            </w:pPr>
            <w:r>
              <w:rPr>
                <w:sz w:val="22"/>
                <w:szCs w:val="22"/>
              </w:rPr>
              <w:t>Pupil premium ensure equal access to the curriculum and wider enrichment opportunities so that finances are not a barrier to learning for children in receipt of PP.</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26B4CE9" w:rsidR="00E66558" w:rsidRDefault="009D71E8">
      <w:r>
        <w:t>Budgeted cost: £</w:t>
      </w:r>
    </w:p>
    <w:tbl>
      <w:tblPr>
        <w:tblW w:w="5000" w:type="pct"/>
        <w:tblCellMar>
          <w:left w:w="10" w:type="dxa"/>
          <w:right w:w="10" w:type="dxa"/>
        </w:tblCellMar>
        <w:tblLook w:val="04A0" w:firstRow="1" w:lastRow="0" w:firstColumn="1" w:lastColumn="0" w:noHBand="0" w:noVBand="1"/>
      </w:tblPr>
      <w:tblGrid>
        <w:gridCol w:w="2188"/>
        <w:gridCol w:w="5757"/>
        <w:gridCol w:w="1541"/>
      </w:tblGrid>
      <w:tr w:rsidR="006B32EE"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6B32EE"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B3C06" w14:textId="6FCC407D" w:rsidR="00E12DAC" w:rsidRPr="00E12DAC" w:rsidRDefault="00E12DAC" w:rsidP="00E12DAC">
            <w:pPr>
              <w:pStyle w:val="TableRow"/>
              <w:ind w:left="0" w:right="0"/>
            </w:pPr>
          </w:p>
          <w:p w14:paraId="0A11F82E" w14:textId="77777777" w:rsidR="00E12DAC" w:rsidRDefault="00E12DAC" w:rsidP="00E12DAC">
            <w:pPr>
              <w:pStyle w:val="TableRowCentered"/>
              <w:numPr>
                <w:ilvl w:val="0"/>
                <w:numId w:val="21"/>
              </w:numPr>
              <w:ind w:right="0"/>
              <w:jc w:val="left"/>
              <w:rPr>
                <w:sz w:val="20"/>
              </w:rPr>
            </w:pPr>
            <w:r>
              <w:rPr>
                <w:sz w:val="20"/>
              </w:rPr>
              <w:t>ELSA Training</w:t>
            </w:r>
          </w:p>
          <w:p w14:paraId="2F164985" w14:textId="02B237C3" w:rsidR="00E12DAC" w:rsidRPr="00E12DAC" w:rsidRDefault="00E12DAC" w:rsidP="00E12DAC">
            <w:pPr>
              <w:pStyle w:val="TableRowCentered"/>
              <w:numPr>
                <w:ilvl w:val="0"/>
                <w:numId w:val="21"/>
              </w:numPr>
              <w:ind w:right="0"/>
              <w:jc w:val="left"/>
              <w:rPr>
                <w:sz w:val="20"/>
              </w:rPr>
            </w:pPr>
            <w:r w:rsidRPr="00E12DAC">
              <w:rPr>
                <w:sz w:val="20"/>
              </w:rPr>
              <w:t xml:space="preserve">A range of whole class, group and 1:1 non-academic </w:t>
            </w:r>
            <w:proofErr w:type="gramStart"/>
            <w:r w:rsidRPr="00E12DAC">
              <w:rPr>
                <w:sz w:val="20"/>
              </w:rPr>
              <w:t>interventions</w:t>
            </w:r>
            <w:proofErr w:type="gramEnd"/>
            <w:r w:rsidRPr="00E12DAC">
              <w:rPr>
                <w:sz w:val="20"/>
              </w:rPr>
              <w:t xml:space="preserve"> are employed and delivered e.g. ELSA, Socially Speaking, Commando Joe’s</w:t>
            </w:r>
          </w:p>
          <w:p w14:paraId="050F3E06" w14:textId="77777777" w:rsidR="00E12DAC" w:rsidRPr="00E12DAC" w:rsidRDefault="00E12DAC" w:rsidP="00E12DAC">
            <w:pPr>
              <w:pStyle w:val="TableRowCentered"/>
              <w:numPr>
                <w:ilvl w:val="0"/>
                <w:numId w:val="21"/>
              </w:numPr>
              <w:ind w:right="0"/>
              <w:jc w:val="left"/>
              <w:rPr>
                <w:sz w:val="20"/>
              </w:rPr>
            </w:pPr>
            <w:r w:rsidRPr="00E12DAC">
              <w:rPr>
                <w:sz w:val="20"/>
              </w:rPr>
              <w:t xml:space="preserve">Termly/half-termly wellbeing team meetings take place to monitor the impact of non-academic interventions and identify candidates for future targeted support. </w:t>
            </w:r>
          </w:p>
          <w:p w14:paraId="34CB2354" w14:textId="77777777" w:rsidR="00E12DAC" w:rsidRPr="00E12DAC" w:rsidRDefault="00E12DAC" w:rsidP="00E12DAC">
            <w:pPr>
              <w:pStyle w:val="TableRowCentered"/>
              <w:numPr>
                <w:ilvl w:val="0"/>
                <w:numId w:val="21"/>
              </w:numPr>
              <w:ind w:right="0"/>
              <w:jc w:val="left"/>
              <w:rPr>
                <w:sz w:val="20"/>
              </w:rPr>
            </w:pPr>
            <w:r w:rsidRPr="00E12DAC">
              <w:rPr>
                <w:sz w:val="20"/>
              </w:rPr>
              <w:lastRenderedPageBreak/>
              <w:t>INSIGHT is used effectively to record interventions and their impact</w:t>
            </w:r>
          </w:p>
          <w:p w14:paraId="70171B5D" w14:textId="77777777" w:rsidR="00E12DAC" w:rsidRPr="00E12DAC" w:rsidRDefault="00E12DAC" w:rsidP="00E12DAC">
            <w:pPr>
              <w:pStyle w:val="TableRowCentered"/>
              <w:numPr>
                <w:ilvl w:val="0"/>
                <w:numId w:val="21"/>
              </w:numPr>
              <w:ind w:right="0"/>
              <w:jc w:val="left"/>
              <w:rPr>
                <w:sz w:val="20"/>
              </w:rPr>
            </w:pPr>
            <w:r w:rsidRPr="00E12DAC">
              <w:rPr>
                <w:sz w:val="20"/>
              </w:rPr>
              <w:t xml:space="preserve">Impact of intervention indicates increased confidence, resilience and engagement in school life. </w:t>
            </w:r>
          </w:p>
          <w:p w14:paraId="4181B46C" w14:textId="77777777" w:rsidR="00E12DAC" w:rsidRPr="00E12DAC" w:rsidRDefault="00E12DAC" w:rsidP="00E12DAC">
            <w:pPr>
              <w:pStyle w:val="TableRowCentered"/>
              <w:numPr>
                <w:ilvl w:val="0"/>
                <w:numId w:val="21"/>
              </w:numPr>
              <w:ind w:right="0"/>
              <w:jc w:val="left"/>
              <w:rPr>
                <w:sz w:val="20"/>
              </w:rPr>
            </w:pPr>
            <w:r w:rsidRPr="00E12DAC">
              <w:rPr>
                <w:sz w:val="20"/>
              </w:rPr>
              <w:t xml:space="preserve">This will be evidenced by pupil voice, parent surveys, CPOMs analysis, teacher observations. </w:t>
            </w:r>
          </w:p>
          <w:p w14:paraId="27F373F8" w14:textId="77777777" w:rsidR="00E12DAC" w:rsidRPr="00E12DAC" w:rsidRDefault="00E12DAC" w:rsidP="00E12DAC">
            <w:pPr>
              <w:pStyle w:val="TableRowCentered"/>
              <w:numPr>
                <w:ilvl w:val="0"/>
                <w:numId w:val="21"/>
              </w:numPr>
              <w:ind w:right="0"/>
              <w:jc w:val="left"/>
              <w:rPr>
                <w:sz w:val="20"/>
              </w:rPr>
            </w:pPr>
            <w:r w:rsidRPr="00E12DAC">
              <w:rPr>
                <w:sz w:val="20"/>
              </w:rPr>
              <w:t xml:space="preserve">Zones of regulation will be introduced across the school to facilitate </w:t>
            </w:r>
          </w:p>
          <w:p w14:paraId="2A7D551A" w14:textId="10A3BD14" w:rsidR="00E12DAC" w:rsidRPr="00CE6895" w:rsidRDefault="00E12DAC" w:rsidP="00E12DAC">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FC10" w14:textId="47C8A8E6" w:rsidR="00E66558" w:rsidRDefault="00D7526B" w:rsidP="00C31636">
            <w:pPr>
              <w:pStyle w:val="TableRowCentered"/>
              <w:ind w:left="0" w:right="0"/>
              <w:jc w:val="left"/>
              <w:rPr>
                <w:sz w:val="22"/>
              </w:rPr>
            </w:pPr>
            <w:r w:rsidRPr="00D7526B">
              <w:rPr>
                <w:noProof/>
                <w:sz w:val="22"/>
              </w:rPr>
              <w:lastRenderedPageBreak/>
              <w:drawing>
                <wp:inline distT="0" distB="0" distL="0" distR="0" wp14:anchorId="78046109" wp14:editId="209ACF5C">
                  <wp:extent cx="2958860" cy="10525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89419" cy="1063423"/>
                          </a:xfrm>
                          <a:prstGeom prst="rect">
                            <a:avLst/>
                          </a:prstGeom>
                        </pic:spPr>
                      </pic:pic>
                    </a:graphicData>
                  </a:graphic>
                </wp:inline>
              </w:drawing>
            </w:r>
          </w:p>
          <w:p w14:paraId="3F09F194" w14:textId="77777777" w:rsidR="00D7526B" w:rsidRDefault="00D7526B" w:rsidP="00C31636">
            <w:pPr>
              <w:pStyle w:val="TableRowCentered"/>
              <w:ind w:left="0" w:right="0"/>
              <w:jc w:val="left"/>
              <w:rPr>
                <w:sz w:val="22"/>
              </w:rPr>
            </w:pPr>
          </w:p>
          <w:p w14:paraId="7BEBF834" w14:textId="06F0A96C" w:rsidR="00D7526B" w:rsidRDefault="00CD1187" w:rsidP="00C31636">
            <w:pPr>
              <w:pStyle w:val="TableRowCentered"/>
              <w:ind w:left="0" w:right="0"/>
              <w:jc w:val="left"/>
              <w:rPr>
                <w:sz w:val="22"/>
              </w:rPr>
            </w:pPr>
            <w:hyperlink r:id="rId12" w:history="1">
              <w:r w:rsidR="00D7526B" w:rsidRPr="00A63C3F">
                <w:rPr>
                  <w:rStyle w:val="Hyperlink"/>
                  <w:sz w:val="22"/>
                </w:rPr>
                <w:t>https://educationendowmentfoundation.org.uk/education-evidence/teaching-learning-toolkit/metacognition-and-self-regulation</w:t>
              </w:r>
            </w:hyperlink>
          </w:p>
          <w:p w14:paraId="7F298C9D" w14:textId="77777777" w:rsidR="00D7526B" w:rsidRDefault="00D7526B" w:rsidP="00C31636">
            <w:pPr>
              <w:pStyle w:val="TableRowCentered"/>
              <w:ind w:left="0" w:right="0"/>
              <w:jc w:val="left"/>
              <w:rPr>
                <w:sz w:val="22"/>
              </w:rPr>
            </w:pPr>
          </w:p>
          <w:p w14:paraId="2890AEE4" w14:textId="77777777" w:rsidR="00D7526B" w:rsidRDefault="00E12DAC" w:rsidP="00C31636">
            <w:pPr>
              <w:pStyle w:val="TableRowCentered"/>
              <w:ind w:left="0" w:right="0"/>
              <w:jc w:val="left"/>
              <w:rPr>
                <w:sz w:val="22"/>
              </w:rPr>
            </w:pPr>
            <w:r w:rsidRPr="00E12DAC">
              <w:rPr>
                <w:noProof/>
                <w:sz w:val="22"/>
              </w:rPr>
              <w:drawing>
                <wp:inline distT="0" distB="0" distL="0" distR="0" wp14:anchorId="5701E718" wp14:editId="2068CB2F">
                  <wp:extent cx="2967487" cy="967808"/>
                  <wp:effectExtent l="0" t="0" r="444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5074" cy="986589"/>
                          </a:xfrm>
                          <a:prstGeom prst="rect">
                            <a:avLst/>
                          </a:prstGeom>
                        </pic:spPr>
                      </pic:pic>
                    </a:graphicData>
                  </a:graphic>
                </wp:inline>
              </w:drawing>
            </w:r>
          </w:p>
          <w:p w14:paraId="6FA29DA8" w14:textId="77777777" w:rsidR="00E12DAC" w:rsidRDefault="00E12DAC" w:rsidP="00C31636">
            <w:pPr>
              <w:pStyle w:val="TableRowCentered"/>
              <w:ind w:left="0" w:right="0"/>
              <w:jc w:val="left"/>
              <w:rPr>
                <w:sz w:val="22"/>
              </w:rPr>
            </w:pPr>
          </w:p>
          <w:p w14:paraId="2A7D551B" w14:textId="41DD5707" w:rsidR="00E12DAC" w:rsidRDefault="00E12DAC" w:rsidP="00C31636">
            <w:pPr>
              <w:pStyle w:val="TableRowCentered"/>
              <w:ind w:left="0" w:right="0"/>
              <w:jc w:val="left"/>
              <w:rPr>
                <w:sz w:val="22"/>
              </w:rPr>
            </w:pPr>
            <w:r w:rsidRPr="00E12DAC">
              <w:rPr>
                <w:sz w:val="22"/>
              </w:rPr>
              <w:t>https://educationendowmentfoundation.org.uk/education-evidence/teaching-learning-toolkit/social-and-emotional-learning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59CB3D4" w:rsidR="00E66558" w:rsidRDefault="00D7526B" w:rsidP="00C31636">
            <w:pPr>
              <w:pStyle w:val="TableRowCentered"/>
              <w:ind w:left="0" w:right="0"/>
              <w:jc w:val="left"/>
              <w:rPr>
                <w:sz w:val="22"/>
              </w:rPr>
            </w:pPr>
            <w:r>
              <w:rPr>
                <w:sz w:val="22"/>
              </w:rPr>
              <w:t>2 &amp; 3</w:t>
            </w:r>
          </w:p>
        </w:tc>
      </w:tr>
      <w:tr w:rsidR="006B32EE"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24279CA" w:rsidR="00E66558" w:rsidRPr="006B32EE" w:rsidRDefault="00D7526B" w:rsidP="00C31636">
            <w:pPr>
              <w:pStyle w:val="TableRow"/>
              <w:ind w:left="0" w:right="0"/>
              <w:rPr>
                <w:iCs/>
                <w:sz w:val="20"/>
                <w:szCs w:val="20"/>
              </w:rPr>
            </w:pPr>
            <w:r w:rsidRPr="006B32EE">
              <w:rPr>
                <w:iCs/>
                <w:sz w:val="20"/>
                <w:szCs w:val="20"/>
              </w:rPr>
              <w:t>Staff CPD Reading Comprehension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FC58" w14:textId="77777777" w:rsidR="00E66558" w:rsidRDefault="00D7526B" w:rsidP="00C31636">
            <w:pPr>
              <w:pStyle w:val="TableRowCentered"/>
              <w:ind w:left="0" w:right="0"/>
              <w:jc w:val="left"/>
              <w:rPr>
                <w:sz w:val="22"/>
              </w:rPr>
            </w:pPr>
            <w:r w:rsidRPr="00D7526B">
              <w:rPr>
                <w:noProof/>
                <w:sz w:val="22"/>
              </w:rPr>
              <w:drawing>
                <wp:inline distT="0" distB="0" distL="0" distR="0" wp14:anchorId="33F1AEBA" wp14:editId="0DF264CE">
                  <wp:extent cx="3079630" cy="107054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8301" cy="1077031"/>
                          </a:xfrm>
                          <a:prstGeom prst="rect">
                            <a:avLst/>
                          </a:prstGeom>
                        </pic:spPr>
                      </pic:pic>
                    </a:graphicData>
                  </a:graphic>
                </wp:inline>
              </w:drawing>
            </w:r>
          </w:p>
          <w:p w14:paraId="334A2BC6" w14:textId="77777777" w:rsidR="00D7526B" w:rsidRDefault="00D7526B" w:rsidP="00C31636">
            <w:pPr>
              <w:pStyle w:val="TableRowCentered"/>
              <w:ind w:left="0" w:right="0"/>
              <w:jc w:val="left"/>
              <w:rPr>
                <w:sz w:val="22"/>
              </w:rPr>
            </w:pPr>
          </w:p>
          <w:p w14:paraId="118A2733" w14:textId="1B7DA650" w:rsidR="00D7526B" w:rsidRDefault="00CD1187" w:rsidP="00C31636">
            <w:pPr>
              <w:pStyle w:val="TableRowCentered"/>
              <w:ind w:left="0" w:right="0"/>
              <w:jc w:val="left"/>
              <w:rPr>
                <w:sz w:val="22"/>
              </w:rPr>
            </w:pPr>
            <w:hyperlink r:id="rId15" w:history="1">
              <w:r w:rsidR="00D7526B" w:rsidRPr="00A63C3F">
                <w:rPr>
                  <w:rStyle w:val="Hyperlink"/>
                  <w:sz w:val="22"/>
                </w:rPr>
                <w:t>https://educationendowmentfoundation.org.uk/education-evidence/teaching-learning-toolkit/reading-comprehension-strategies</w:t>
              </w:r>
            </w:hyperlink>
          </w:p>
          <w:p w14:paraId="2A7D551F" w14:textId="2618693E" w:rsidR="00D7526B" w:rsidRDefault="00D7526B"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B46FF9F" w:rsidR="00E66558" w:rsidRDefault="00D7526B" w:rsidP="00C31636">
            <w:pPr>
              <w:pStyle w:val="TableRowCentered"/>
              <w:ind w:left="0" w:right="0"/>
              <w:jc w:val="left"/>
              <w:rPr>
                <w:sz w:val="22"/>
              </w:rPr>
            </w:pPr>
            <w:r>
              <w:rPr>
                <w:sz w:val="22"/>
              </w:rPr>
              <w:t>2</w:t>
            </w:r>
          </w:p>
        </w:tc>
      </w:tr>
      <w:tr w:rsidR="006B32EE" w14:paraId="2F357C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E660" w14:textId="1D85D15A" w:rsidR="006B32EE" w:rsidRPr="006B32EE" w:rsidRDefault="006B32EE" w:rsidP="00C31636">
            <w:pPr>
              <w:pStyle w:val="TableRow"/>
              <w:ind w:left="0" w:right="0"/>
              <w:rPr>
                <w:iCs/>
                <w:sz w:val="20"/>
                <w:szCs w:val="20"/>
              </w:rPr>
            </w:pPr>
            <w:r>
              <w:rPr>
                <w:iCs/>
                <w:sz w:val="20"/>
                <w:szCs w:val="20"/>
              </w:rPr>
              <w:t xml:space="preserve">Staff CPD – Guiding Principles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605D" w14:textId="77777777" w:rsidR="006B32EE" w:rsidRDefault="006B32EE" w:rsidP="00C31636">
            <w:pPr>
              <w:pStyle w:val="TableRowCentered"/>
              <w:ind w:left="0" w:right="0"/>
              <w:jc w:val="left"/>
              <w:rPr>
                <w:sz w:val="22"/>
              </w:rPr>
            </w:pPr>
            <w:r w:rsidRPr="006B32EE">
              <w:rPr>
                <w:noProof/>
                <w:sz w:val="22"/>
              </w:rPr>
              <w:drawing>
                <wp:inline distT="0" distB="0" distL="0" distR="0" wp14:anchorId="0F359543" wp14:editId="1C9FDA78">
                  <wp:extent cx="2872948" cy="992038"/>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04407" cy="1002901"/>
                          </a:xfrm>
                          <a:prstGeom prst="rect">
                            <a:avLst/>
                          </a:prstGeom>
                        </pic:spPr>
                      </pic:pic>
                    </a:graphicData>
                  </a:graphic>
                </wp:inline>
              </w:drawing>
            </w:r>
          </w:p>
          <w:p w14:paraId="2F514475" w14:textId="77777777" w:rsidR="006B32EE" w:rsidRDefault="006B32EE" w:rsidP="00C31636">
            <w:pPr>
              <w:pStyle w:val="TableRowCentered"/>
              <w:ind w:left="0" w:right="0"/>
              <w:jc w:val="left"/>
              <w:rPr>
                <w:sz w:val="22"/>
              </w:rPr>
            </w:pPr>
          </w:p>
          <w:p w14:paraId="6783E8C1" w14:textId="458D6340" w:rsidR="006B32EE" w:rsidRDefault="00CD1187" w:rsidP="00C31636">
            <w:pPr>
              <w:pStyle w:val="TableRowCentered"/>
              <w:ind w:left="0" w:right="0"/>
              <w:jc w:val="left"/>
              <w:rPr>
                <w:sz w:val="22"/>
              </w:rPr>
            </w:pPr>
            <w:hyperlink r:id="rId17" w:history="1">
              <w:r w:rsidR="006B32EE" w:rsidRPr="00A63C3F">
                <w:rPr>
                  <w:rStyle w:val="Hyperlink"/>
                  <w:sz w:val="22"/>
                </w:rPr>
                <w:t>https://educationendowmentfoundation.org.uk/education-evidence/teaching-learning-toolkit/collaborative-learning-approaches</w:t>
              </w:r>
            </w:hyperlink>
          </w:p>
          <w:p w14:paraId="272FB403" w14:textId="6103BD59" w:rsidR="006B32EE" w:rsidRPr="00D7526B" w:rsidRDefault="006B32EE"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9A756" w14:textId="0F58C8C8" w:rsidR="006B32EE" w:rsidRDefault="006B32EE" w:rsidP="00C31636">
            <w:pPr>
              <w:pStyle w:val="TableRowCentered"/>
              <w:ind w:left="0" w:right="0"/>
              <w:jc w:val="left"/>
              <w:rPr>
                <w:sz w:val="22"/>
              </w:rPr>
            </w:pPr>
            <w:r>
              <w:rPr>
                <w:sz w:val="22"/>
              </w:rPr>
              <w:t>2</w:t>
            </w:r>
          </w:p>
        </w:tc>
      </w:tr>
      <w:tr w:rsidR="006B32EE" w14:paraId="45A6E1E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7190" w14:textId="15303EA5" w:rsidR="00D7526B" w:rsidRPr="006B32EE" w:rsidRDefault="00D7526B" w:rsidP="00C31636">
            <w:pPr>
              <w:pStyle w:val="TableRow"/>
              <w:ind w:left="0" w:right="0"/>
              <w:rPr>
                <w:iCs/>
                <w:sz w:val="20"/>
                <w:szCs w:val="20"/>
              </w:rPr>
            </w:pPr>
            <w:r w:rsidRPr="006B32EE">
              <w:rPr>
                <w:iCs/>
                <w:sz w:val="20"/>
                <w:szCs w:val="20"/>
              </w:rPr>
              <w:lastRenderedPageBreak/>
              <w:t>Staff CPD – Zones of 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8CDBD" w14:textId="77777777" w:rsidR="00D7526B" w:rsidRDefault="00D7526B" w:rsidP="00C31636">
            <w:pPr>
              <w:pStyle w:val="TableRowCentered"/>
              <w:ind w:left="0" w:right="0"/>
              <w:jc w:val="left"/>
              <w:rPr>
                <w:sz w:val="22"/>
              </w:rPr>
            </w:pPr>
            <w:r w:rsidRPr="00D7526B">
              <w:rPr>
                <w:noProof/>
                <w:sz w:val="22"/>
              </w:rPr>
              <w:drawing>
                <wp:inline distT="0" distB="0" distL="0" distR="0" wp14:anchorId="2044B4EF" wp14:editId="7C84577B">
                  <wp:extent cx="2881222" cy="961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03663" cy="969009"/>
                          </a:xfrm>
                          <a:prstGeom prst="rect">
                            <a:avLst/>
                          </a:prstGeom>
                        </pic:spPr>
                      </pic:pic>
                    </a:graphicData>
                  </a:graphic>
                </wp:inline>
              </w:drawing>
            </w:r>
          </w:p>
          <w:p w14:paraId="677B94EC" w14:textId="77777777" w:rsidR="00D7526B" w:rsidRDefault="00D7526B" w:rsidP="00C31636">
            <w:pPr>
              <w:pStyle w:val="TableRowCentered"/>
              <w:ind w:left="0" w:right="0"/>
              <w:jc w:val="left"/>
              <w:rPr>
                <w:sz w:val="22"/>
              </w:rPr>
            </w:pPr>
          </w:p>
          <w:p w14:paraId="24937573" w14:textId="3381AA12" w:rsidR="00D7526B" w:rsidRDefault="00CD1187" w:rsidP="00C31636">
            <w:pPr>
              <w:pStyle w:val="TableRowCentered"/>
              <w:ind w:left="0" w:right="0"/>
              <w:jc w:val="left"/>
              <w:rPr>
                <w:sz w:val="22"/>
              </w:rPr>
            </w:pPr>
            <w:hyperlink r:id="rId19" w:history="1">
              <w:r w:rsidR="00D7526B" w:rsidRPr="00A63C3F">
                <w:rPr>
                  <w:rStyle w:val="Hyperlink"/>
                  <w:sz w:val="22"/>
                </w:rPr>
                <w:t>https://educationendowmentfoundation.org.uk/education-evidence/teaching-learning-toolkit/social-and-emotional-learning</w:t>
              </w:r>
            </w:hyperlink>
          </w:p>
          <w:p w14:paraId="529D8318" w14:textId="2A734E66" w:rsidR="00D7526B" w:rsidRDefault="00D7526B"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B0B21" w14:textId="324043EA" w:rsidR="00D7526B" w:rsidRDefault="00D7526B" w:rsidP="00C31636">
            <w:pPr>
              <w:pStyle w:val="TableRowCentered"/>
              <w:ind w:left="0" w:right="0"/>
              <w:jc w:val="left"/>
              <w:rPr>
                <w:sz w:val="22"/>
              </w:rPr>
            </w:pPr>
            <w:r>
              <w:rPr>
                <w:sz w:val="22"/>
              </w:rPr>
              <w:t>2 &amp; 3</w:t>
            </w:r>
          </w:p>
        </w:tc>
      </w:tr>
      <w:tr w:rsidR="006B32EE" w14:paraId="3127094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A9FA1" w14:textId="2076FDDD" w:rsidR="00D7526B" w:rsidRPr="006B32EE" w:rsidRDefault="00D7526B" w:rsidP="00C31636">
            <w:pPr>
              <w:pStyle w:val="TableRow"/>
              <w:ind w:left="0" w:right="0"/>
              <w:rPr>
                <w:iCs/>
                <w:sz w:val="20"/>
                <w:szCs w:val="20"/>
              </w:rPr>
            </w:pPr>
            <w:r w:rsidRPr="006B32EE">
              <w:rPr>
                <w:iCs/>
                <w:sz w:val="20"/>
                <w:szCs w:val="20"/>
              </w:rPr>
              <w:t>Staff CPD Mastery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49E9" w14:textId="77777777" w:rsidR="00D7526B" w:rsidRDefault="00D7526B" w:rsidP="00C31636">
            <w:pPr>
              <w:pStyle w:val="TableRowCentered"/>
              <w:ind w:left="0" w:right="0"/>
              <w:jc w:val="left"/>
              <w:rPr>
                <w:sz w:val="22"/>
              </w:rPr>
            </w:pPr>
            <w:r w:rsidRPr="00D7526B">
              <w:rPr>
                <w:noProof/>
                <w:sz w:val="22"/>
              </w:rPr>
              <w:drawing>
                <wp:inline distT="0" distB="0" distL="0" distR="0" wp14:anchorId="0ED7AA72" wp14:editId="1D147FCA">
                  <wp:extent cx="3001992" cy="1001823"/>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25995" cy="1009833"/>
                          </a:xfrm>
                          <a:prstGeom prst="rect">
                            <a:avLst/>
                          </a:prstGeom>
                        </pic:spPr>
                      </pic:pic>
                    </a:graphicData>
                  </a:graphic>
                </wp:inline>
              </w:drawing>
            </w:r>
          </w:p>
          <w:p w14:paraId="6135C018" w14:textId="77777777" w:rsidR="00D7526B" w:rsidRDefault="00D7526B" w:rsidP="00C31636">
            <w:pPr>
              <w:pStyle w:val="TableRowCentered"/>
              <w:ind w:left="0" w:right="0"/>
              <w:jc w:val="left"/>
              <w:rPr>
                <w:sz w:val="22"/>
              </w:rPr>
            </w:pPr>
          </w:p>
          <w:p w14:paraId="2C1500C8" w14:textId="17CF1067" w:rsidR="00D7526B" w:rsidRDefault="00CD1187" w:rsidP="00C31636">
            <w:pPr>
              <w:pStyle w:val="TableRowCentered"/>
              <w:ind w:left="0" w:right="0"/>
              <w:jc w:val="left"/>
              <w:rPr>
                <w:sz w:val="22"/>
              </w:rPr>
            </w:pPr>
            <w:hyperlink r:id="rId21" w:history="1">
              <w:r w:rsidR="00D7526B" w:rsidRPr="00A63C3F">
                <w:rPr>
                  <w:rStyle w:val="Hyperlink"/>
                  <w:sz w:val="22"/>
                </w:rPr>
                <w:t>https://educationendowmentfoundation.org.uk/education-evidence/teaching-learning-toolkit/mastery-learning</w:t>
              </w:r>
            </w:hyperlink>
          </w:p>
          <w:p w14:paraId="277AC1D3" w14:textId="2DD05336" w:rsidR="00D7526B" w:rsidRDefault="00D7526B"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A896E" w14:textId="57318487" w:rsidR="00D7526B" w:rsidRDefault="00D7526B" w:rsidP="00C31636">
            <w:pPr>
              <w:pStyle w:val="TableRowCentered"/>
              <w:ind w:left="0" w:right="0"/>
              <w:jc w:val="left"/>
              <w:rPr>
                <w:sz w:val="22"/>
              </w:rPr>
            </w:pPr>
            <w:r>
              <w:rPr>
                <w:sz w:val="22"/>
              </w:rPr>
              <w:t>2</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134491F" w:rsidR="00E66558" w:rsidRDefault="00E66558" w:rsidP="00C31636">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7777777" w:rsidR="00E66558" w:rsidRDefault="00E66558"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7777777" w:rsidR="00E66558" w:rsidRDefault="00E66558" w:rsidP="00C31636">
            <w:pPr>
              <w:pStyle w:val="TableRowCentered"/>
              <w:ind w:left="0" w:right="0"/>
              <w:jc w:val="left"/>
              <w:rPr>
                <w:sz w:val="22"/>
              </w:rPr>
            </w:pP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7777777" w:rsidR="00E66558" w:rsidRDefault="00E66558" w:rsidP="00C31636">
            <w:pPr>
              <w:pStyle w:val="TableRow"/>
              <w:ind w:left="0" w:right="0"/>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E66558" w:rsidRDefault="00E66558"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7777777" w:rsidR="00E66558" w:rsidRDefault="00E66558" w:rsidP="00C31636">
            <w:pPr>
              <w:pStyle w:val="TableRowCentered"/>
              <w:ind w:left="0" w:right="0"/>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1999"/>
        <w:gridCol w:w="5757"/>
        <w:gridCol w:w="1730"/>
      </w:tblGrid>
      <w:tr w:rsidR="00BF4E22"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BF4E22"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80A1" w14:textId="77777777" w:rsidR="00E12DAC" w:rsidRDefault="00E12DAC" w:rsidP="00C31636">
            <w:pPr>
              <w:pStyle w:val="TableRow"/>
              <w:ind w:left="0" w:right="0"/>
            </w:pPr>
          </w:p>
          <w:p w14:paraId="6704F18A" w14:textId="56430166" w:rsidR="006B32EE" w:rsidRDefault="006B32EE" w:rsidP="00E12DAC">
            <w:pPr>
              <w:pStyle w:val="TableRowCentered"/>
              <w:numPr>
                <w:ilvl w:val="0"/>
                <w:numId w:val="20"/>
              </w:numPr>
              <w:ind w:right="0"/>
              <w:jc w:val="left"/>
              <w:rPr>
                <w:sz w:val="20"/>
              </w:rPr>
            </w:pPr>
            <w:r>
              <w:rPr>
                <w:sz w:val="20"/>
              </w:rPr>
              <w:t xml:space="preserve">Family Support Worker employed additional half </w:t>
            </w:r>
            <w:r>
              <w:rPr>
                <w:sz w:val="20"/>
              </w:rPr>
              <w:lastRenderedPageBreak/>
              <w:t xml:space="preserve">day per week (1 day total) </w:t>
            </w:r>
          </w:p>
          <w:p w14:paraId="0E035A43" w14:textId="545BF64E" w:rsidR="00E12DAC" w:rsidRPr="00E12DAC" w:rsidRDefault="00E12DAC" w:rsidP="00E12DAC">
            <w:pPr>
              <w:pStyle w:val="TableRowCentered"/>
              <w:numPr>
                <w:ilvl w:val="0"/>
                <w:numId w:val="20"/>
              </w:numPr>
              <w:ind w:right="0"/>
              <w:jc w:val="left"/>
              <w:rPr>
                <w:sz w:val="20"/>
              </w:rPr>
            </w:pPr>
            <w:r w:rsidRPr="00E12DAC">
              <w:rPr>
                <w:sz w:val="20"/>
              </w:rPr>
              <w:t>Attendance Policy updated in line with current guidance ‘DfE Working Together to Improve Attendance’ (August 2024)</w:t>
            </w:r>
          </w:p>
          <w:p w14:paraId="31AA718A" w14:textId="77777777" w:rsidR="00E12DAC" w:rsidRPr="00E12DAC" w:rsidRDefault="00E12DAC" w:rsidP="00E12DAC">
            <w:pPr>
              <w:pStyle w:val="TableRowCentered"/>
              <w:numPr>
                <w:ilvl w:val="0"/>
                <w:numId w:val="20"/>
              </w:numPr>
              <w:ind w:right="0"/>
              <w:jc w:val="left"/>
              <w:rPr>
                <w:sz w:val="20"/>
              </w:rPr>
            </w:pPr>
            <w:r w:rsidRPr="00E12DAC">
              <w:rPr>
                <w:sz w:val="20"/>
              </w:rPr>
              <w:t>Key staff in school have strategic responsibility in school for monitoring and improving attendance.</w:t>
            </w:r>
          </w:p>
          <w:p w14:paraId="72D2939F" w14:textId="77777777" w:rsidR="00E12DAC" w:rsidRPr="00E12DAC" w:rsidRDefault="00E12DAC" w:rsidP="00E12DAC">
            <w:pPr>
              <w:pStyle w:val="TableRowCentered"/>
              <w:numPr>
                <w:ilvl w:val="0"/>
                <w:numId w:val="20"/>
              </w:numPr>
              <w:ind w:right="0"/>
              <w:jc w:val="left"/>
              <w:rPr>
                <w:sz w:val="20"/>
              </w:rPr>
            </w:pPr>
            <w:r w:rsidRPr="00E12DAC">
              <w:rPr>
                <w:sz w:val="20"/>
              </w:rPr>
              <w:t xml:space="preserve">All key documents and school expectations shared regularly with parents </w:t>
            </w:r>
            <w:proofErr w:type="gramStart"/>
            <w:r w:rsidRPr="00E12DAC">
              <w:rPr>
                <w:sz w:val="20"/>
              </w:rPr>
              <w:t>e.g.</w:t>
            </w:r>
            <w:proofErr w:type="gramEnd"/>
            <w:r w:rsidRPr="00E12DAC">
              <w:rPr>
                <w:sz w:val="20"/>
              </w:rPr>
              <w:t xml:space="preserve"> updated policies, newsletters etc.</w:t>
            </w:r>
          </w:p>
          <w:p w14:paraId="13762876" w14:textId="77777777" w:rsidR="00E12DAC" w:rsidRPr="00E12DAC" w:rsidRDefault="00E12DAC" w:rsidP="00E12DAC">
            <w:pPr>
              <w:pStyle w:val="TableRowCentered"/>
              <w:numPr>
                <w:ilvl w:val="0"/>
                <w:numId w:val="20"/>
              </w:numPr>
              <w:ind w:right="0"/>
              <w:jc w:val="left"/>
              <w:rPr>
                <w:sz w:val="20"/>
              </w:rPr>
            </w:pPr>
            <w:r w:rsidRPr="00E12DAC">
              <w:rPr>
                <w:sz w:val="20"/>
              </w:rPr>
              <w:t>Staff are aware of potential barriers to learning and ‘push and pull’ factors are considered when identifying strategies to improve children’s attendance</w:t>
            </w:r>
          </w:p>
          <w:p w14:paraId="2A7D5538" w14:textId="36FAE759" w:rsidR="00E12DAC" w:rsidRDefault="00E12DAC" w:rsidP="00E12DAC">
            <w:pPr>
              <w:pStyle w:val="TableRow"/>
              <w:numPr>
                <w:ilvl w:val="0"/>
                <w:numId w:val="20"/>
              </w:numPr>
              <w:ind w:right="0"/>
            </w:pPr>
            <w:r w:rsidRPr="00E12DAC">
              <w:rPr>
                <w:sz w:val="20"/>
                <w:szCs w:val="20"/>
              </w:rPr>
              <w:t>FSW supports targeted families whose attendance is below ‘average’ or at risk of falling below ‘average’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85F72" w14:textId="77777777" w:rsidR="00E66558" w:rsidRDefault="00BF4E22" w:rsidP="00C31636">
            <w:pPr>
              <w:pStyle w:val="TableRowCentered"/>
              <w:ind w:left="0" w:right="0"/>
              <w:jc w:val="left"/>
              <w:rPr>
                <w:sz w:val="22"/>
              </w:rPr>
            </w:pPr>
            <w:r w:rsidRPr="00BF4E22">
              <w:rPr>
                <w:noProof/>
                <w:sz w:val="22"/>
              </w:rPr>
              <w:lastRenderedPageBreak/>
              <w:drawing>
                <wp:inline distT="0" distB="0" distL="0" distR="0" wp14:anchorId="60051A92" wp14:editId="6BC2F6D8">
                  <wp:extent cx="2424022" cy="8089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66112" cy="822989"/>
                          </a:xfrm>
                          <a:prstGeom prst="rect">
                            <a:avLst/>
                          </a:prstGeom>
                        </pic:spPr>
                      </pic:pic>
                    </a:graphicData>
                  </a:graphic>
                </wp:inline>
              </w:drawing>
            </w:r>
          </w:p>
          <w:p w14:paraId="5B09302D" w14:textId="77777777" w:rsidR="00BF4E22" w:rsidRDefault="00BF4E22" w:rsidP="00C31636">
            <w:pPr>
              <w:pStyle w:val="TableRowCentered"/>
              <w:ind w:left="0" w:right="0"/>
              <w:jc w:val="left"/>
              <w:rPr>
                <w:sz w:val="22"/>
              </w:rPr>
            </w:pPr>
          </w:p>
          <w:p w14:paraId="083C1089" w14:textId="13BF5EFC" w:rsidR="00BF4E22" w:rsidRDefault="00CD1187" w:rsidP="00C31636">
            <w:pPr>
              <w:pStyle w:val="TableRowCentered"/>
              <w:ind w:left="0" w:right="0"/>
              <w:jc w:val="left"/>
              <w:rPr>
                <w:sz w:val="22"/>
              </w:rPr>
            </w:pPr>
            <w:hyperlink r:id="rId23" w:history="1">
              <w:r w:rsidR="00BF4E22" w:rsidRPr="00A63C3F">
                <w:rPr>
                  <w:rStyle w:val="Hyperlink"/>
                  <w:sz w:val="22"/>
                </w:rPr>
                <w:t>https://educationendowmentfoundation.org.uk/education-evidence/teaching-learning-toolkit/parental-engagement</w:t>
              </w:r>
            </w:hyperlink>
          </w:p>
          <w:p w14:paraId="4ABF2632" w14:textId="77777777" w:rsidR="00BF4E22" w:rsidRDefault="00BF4E22" w:rsidP="00C31636">
            <w:pPr>
              <w:pStyle w:val="TableRowCentered"/>
              <w:ind w:left="0" w:right="0"/>
              <w:jc w:val="left"/>
              <w:rPr>
                <w:sz w:val="22"/>
              </w:rPr>
            </w:pPr>
          </w:p>
          <w:p w14:paraId="08A213C9" w14:textId="77777777" w:rsidR="00BF4E22" w:rsidRDefault="00BF4E22" w:rsidP="00C31636">
            <w:pPr>
              <w:pStyle w:val="TableRowCentered"/>
              <w:ind w:left="0" w:right="0"/>
              <w:jc w:val="left"/>
              <w:rPr>
                <w:sz w:val="22"/>
              </w:rPr>
            </w:pPr>
            <w:r w:rsidRPr="00BF4E22">
              <w:rPr>
                <w:noProof/>
                <w:sz w:val="22"/>
              </w:rPr>
              <w:drawing>
                <wp:inline distT="0" distB="0" distL="0" distR="0" wp14:anchorId="05DE5ECD" wp14:editId="3EE79B77">
                  <wp:extent cx="2238687" cy="5144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38687" cy="514422"/>
                          </a:xfrm>
                          <a:prstGeom prst="rect">
                            <a:avLst/>
                          </a:prstGeom>
                        </pic:spPr>
                      </pic:pic>
                    </a:graphicData>
                  </a:graphic>
                </wp:inline>
              </w:drawing>
            </w:r>
          </w:p>
          <w:p w14:paraId="70C612F2" w14:textId="77777777" w:rsidR="00BF4E22" w:rsidRDefault="00BF4E22" w:rsidP="00C31636">
            <w:pPr>
              <w:pStyle w:val="TableRowCentered"/>
              <w:ind w:left="0" w:right="0"/>
              <w:jc w:val="left"/>
              <w:rPr>
                <w:sz w:val="22"/>
              </w:rPr>
            </w:pPr>
          </w:p>
          <w:p w14:paraId="0F225860" w14:textId="5A023F95" w:rsidR="00BF4E22" w:rsidRDefault="00CD1187" w:rsidP="00C31636">
            <w:pPr>
              <w:pStyle w:val="TableRowCentered"/>
              <w:ind w:left="0" w:right="0"/>
              <w:jc w:val="left"/>
              <w:rPr>
                <w:sz w:val="22"/>
              </w:rPr>
            </w:pPr>
            <w:hyperlink r:id="rId25" w:history="1">
              <w:r w:rsidR="00BF4E22" w:rsidRPr="00A63C3F">
                <w:rPr>
                  <w:rStyle w:val="Hyperlink"/>
                  <w:sz w:val="22"/>
                </w:rPr>
                <w:t>https://educationendowmentfoundation.org.uk/education-evidence/leadership-and-planning/supporting-attendance</w:t>
              </w:r>
            </w:hyperlink>
          </w:p>
          <w:p w14:paraId="05E9B9E9" w14:textId="77777777" w:rsidR="00BF4E22" w:rsidRDefault="00BF4E22" w:rsidP="00C31636">
            <w:pPr>
              <w:pStyle w:val="TableRowCentered"/>
              <w:ind w:left="0" w:right="0"/>
              <w:jc w:val="left"/>
              <w:rPr>
                <w:sz w:val="22"/>
              </w:rPr>
            </w:pPr>
          </w:p>
          <w:p w14:paraId="43919DB7" w14:textId="77777777" w:rsidR="00BF4E22" w:rsidRDefault="00BF4E22" w:rsidP="00C31636">
            <w:pPr>
              <w:pStyle w:val="TableRowCentered"/>
              <w:ind w:left="0" w:right="0"/>
              <w:jc w:val="left"/>
              <w:rPr>
                <w:sz w:val="22"/>
              </w:rPr>
            </w:pPr>
            <w:r w:rsidRPr="00BF4E22">
              <w:rPr>
                <w:noProof/>
                <w:sz w:val="22"/>
              </w:rPr>
              <w:drawing>
                <wp:inline distT="0" distB="0" distL="0" distR="0" wp14:anchorId="4300158A" wp14:editId="659F03CC">
                  <wp:extent cx="2664208" cy="715992"/>
                  <wp:effectExtent l="0" t="0" r="317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95256" cy="724336"/>
                          </a:xfrm>
                          <a:prstGeom prst="rect">
                            <a:avLst/>
                          </a:prstGeom>
                        </pic:spPr>
                      </pic:pic>
                    </a:graphicData>
                  </a:graphic>
                </wp:inline>
              </w:drawing>
            </w:r>
          </w:p>
          <w:p w14:paraId="5BE8C7E8" w14:textId="77777777" w:rsidR="00BF4E22" w:rsidRDefault="00BF4E22" w:rsidP="00C31636">
            <w:pPr>
              <w:pStyle w:val="TableRowCentered"/>
              <w:ind w:left="0" w:right="0"/>
              <w:jc w:val="left"/>
              <w:rPr>
                <w:sz w:val="22"/>
              </w:rPr>
            </w:pPr>
          </w:p>
          <w:p w14:paraId="552FAE6B" w14:textId="22576F7F" w:rsidR="00BF4E22" w:rsidRDefault="00CD1187" w:rsidP="00C31636">
            <w:pPr>
              <w:pStyle w:val="TableRowCentered"/>
              <w:ind w:left="0" w:right="0"/>
              <w:jc w:val="left"/>
              <w:rPr>
                <w:sz w:val="22"/>
              </w:rPr>
            </w:pPr>
            <w:hyperlink r:id="rId27" w:history="1">
              <w:r w:rsidR="00BF4E22" w:rsidRPr="00A63C3F">
                <w:rPr>
                  <w:rStyle w:val="Hyperlink"/>
                  <w:sz w:val="22"/>
                </w:rPr>
                <w:t>https://educationendowmentfoundation.org.uk/education-evidence/evidence-reviews/attendance-interventions-rapid-evidence-assessment</w:t>
              </w:r>
            </w:hyperlink>
          </w:p>
          <w:p w14:paraId="2A7D5539" w14:textId="2C9E6FB1" w:rsidR="00BF4E22" w:rsidRDefault="00BF4E22"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6A9C986" w:rsidR="00E66558" w:rsidRDefault="00BF4E22" w:rsidP="00C31636">
            <w:pPr>
              <w:pStyle w:val="TableRowCentered"/>
              <w:ind w:left="0" w:right="0"/>
              <w:jc w:val="left"/>
              <w:rPr>
                <w:sz w:val="22"/>
              </w:rPr>
            </w:pPr>
            <w:r>
              <w:rPr>
                <w:sz w:val="22"/>
              </w:rPr>
              <w:lastRenderedPageBreak/>
              <w:t>1, 2, 3 &amp; 4</w:t>
            </w:r>
          </w:p>
        </w:tc>
      </w:tr>
      <w:tr w:rsidR="00BF4E22"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112DA3B" w:rsidR="00E66558" w:rsidRPr="006B32EE" w:rsidRDefault="006B32EE" w:rsidP="00C31636">
            <w:pPr>
              <w:pStyle w:val="TableRow"/>
              <w:ind w:left="0" w:right="0"/>
              <w:rPr>
                <w:iCs/>
                <w:sz w:val="20"/>
                <w:szCs w:val="20"/>
              </w:rPr>
            </w:pPr>
            <w:r>
              <w:rPr>
                <w:iCs/>
                <w:sz w:val="20"/>
                <w:szCs w:val="20"/>
              </w:rPr>
              <w:t>Contingency Fund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19DE531" w:rsidR="00E66558" w:rsidRDefault="00D92D89" w:rsidP="00C31636">
            <w:pPr>
              <w:pStyle w:val="TableRowCentered"/>
              <w:ind w:left="0" w:right="0"/>
              <w:jc w:val="left"/>
              <w:rPr>
                <w:sz w:val="22"/>
              </w:rPr>
            </w:pPr>
            <w:r>
              <w:rPr>
                <w:sz w:val="22"/>
              </w:rPr>
              <w:t>Based on our experience and those of schools similar to ours, we have set aside a small amount of money which will be used to respond quickly to needs which have not been identified and to ensure equal access to the curriculum and wider curriculum opportunities for all.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Default="00E66558" w:rsidP="00C31636">
            <w:pPr>
              <w:pStyle w:val="TableRowCentered"/>
              <w:ind w:left="0" w:right="0"/>
              <w:jc w:val="left"/>
              <w:rPr>
                <w:sz w:val="22"/>
              </w:rPr>
            </w:pPr>
          </w:p>
        </w:tc>
      </w:tr>
    </w:tbl>
    <w:p w14:paraId="2A7D5540" w14:textId="77777777" w:rsidR="00E66558" w:rsidRDefault="00E66558">
      <w:pPr>
        <w:spacing w:before="240" w:after="0"/>
        <w:rPr>
          <w:b/>
          <w:bCs/>
          <w:color w:val="104F75"/>
          <w:sz w:val="28"/>
          <w:szCs w:val="28"/>
        </w:rPr>
      </w:pPr>
    </w:p>
    <w:p w14:paraId="2A7D5541" w14:textId="13B4907D" w:rsidR="00E66558" w:rsidRDefault="009D71E8" w:rsidP="00120AB1">
      <w:r>
        <w:rPr>
          <w:b/>
          <w:bCs/>
          <w:color w:val="104F75"/>
          <w:sz w:val="28"/>
          <w:szCs w:val="28"/>
        </w:rPr>
        <w:t>Total budgeted cost: £</w:t>
      </w:r>
      <w:r w:rsidR="00CD1187">
        <w:rPr>
          <w:b/>
          <w:bCs/>
          <w:color w:val="104F75"/>
          <w:sz w:val="28"/>
          <w:szCs w:val="28"/>
        </w:rPr>
        <w:t>20, 720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726"/>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7BF231" w14:textId="35D8B97B" w:rsidR="00DC3FE5" w:rsidRDefault="00DC3FE5" w:rsidP="00242093">
            <w:pPr>
              <w:spacing w:before="60"/>
              <w:rPr>
                <w:rFonts w:cs="Arial"/>
                <w:color w:val="000000"/>
                <w:lang w:eastAsia="en-US"/>
              </w:rPr>
            </w:pPr>
            <w:r>
              <w:rPr>
                <w:rFonts w:cs="Arial"/>
                <w:color w:val="000000"/>
                <w:lang w:eastAsia="en-US"/>
              </w:rPr>
              <w:t>PP money was effectively used to support equal opportunities and access for all to the curriculum and wider enrichment opportunities this judgement is supported by attendance registers for curriculum and wider curriculum enrichment opportunities.</w:t>
            </w:r>
          </w:p>
          <w:p w14:paraId="2121D82F" w14:textId="77777777" w:rsidR="00D92D89" w:rsidRDefault="00DC3FE5" w:rsidP="00242093">
            <w:pPr>
              <w:spacing w:before="60"/>
              <w:rPr>
                <w:rFonts w:cs="Arial"/>
                <w:color w:val="000000"/>
                <w:lang w:eastAsia="en-US"/>
              </w:rPr>
            </w:pPr>
            <w:r>
              <w:rPr>
                <w:rFonts w:cs="Arial"/>
                <w:color w:val="000000"/>
                <w:lang w:eastAsia="en-US"/>
              </w:rPr>
              <w:t xml:space="preserve">Evidence sources show that children in receipt of PP positively engage in learning and wider curriculum opportunities and demonstrate good levels of resilience in their learning, social interactions and play. Where wider needs are identified school has successfully signposted families to and supported families in getting the right support to meet need. There is a continued need for this support in future pupil premium planning. </w:t>
            </w:r>
          </w:p>
          <w:p w14:paraId="2A783A34" w14:textId="4F4A2ED3" w:rsidR="003A7070" w:rsidRDefault="00DC3FE5" w:rsidP="00242093">
            <w:pPr>
              <w:spacing w:before="60"/>
              <w:rPr>
                <w:rFonts w:cs="Arial"/>
                <w:color w:val="000000"/>
                <w:lang w:eastAsia="en-US"/>
              </w:rPr>
            </w:pPr>
            <w:r>
              <w:rPr>
                <w:rFonts w:cs="Arial"/>
                <w:color w:val="000000"/>
                <w:lang w:eastAsia="en-US"/>
              </w:rPr>
              <w:t xml:space="preserve">Progress analysis shows that all learners in receipt of PP funding made </w:t>
            </w:r>
            <w:r w:rsidR="003A7070">
              <w:rPr>
                <w:rFonts w:cs="Arial"/>
                <w:color w:val="000000"/>
                <w:lang w:eastAsia="en-US"/>
              </w:rPr>
              <w:t>at least expected progress.</w:t>
            </w:r>
          </w:p>
          <w:p w14:paraId="7A64EB7F" w14:textId="4C82C19B" w:rsidR="003B5EC8" w:rsidRDefault="003A7070" w:rsidP="00242093">
            <w:pPr>
              <w:spacing w:before="60"/>
              <w:rPr>
                <w:rFonts w:cs="Arial"/>
                <w:color w:val="000000"/>
                <w:lang w:eastAsia="en-US"/>
              </w:rPr>
            </w:pPr>
            <w:r>
              <w:rPr>
                <w:rFonts w:cs="Arial"/>
                <w:color w:val="000000"/>
                <w:lang w:eastAsia="en-US"/>
              </w:rPr>
              <w:t xml:space="preserve">Further analysis revealed that, while </w:t>
            </w:r>
            <w:r w:rsidR="003B5EC8">
              <w:rPr>
                <w:rFonts w:cs="Arial"/>
                <w:color w:val="000000"/>
                <w:lang w:eastAsia="en-US"/>
              </w:rPr>
              <w:t>progress</w:t>
            </w:r>
            <w:r>
              <w:rPr>
                <w:rFonts w:cs="Arial"/>
                <w:color w:val="000000"/>
                <w:lang w:eastAsia="en-US"/>
              </w:rPr>
              <w:t xml:space="preserve"> w</w:t>
            </w:r>
            <w:r w:rsidR="003B5EC8">
              <w:rPr>
                <w:rFonts w:cs="Arial"/>
                <w:color w:val="000000"/>
                <w:lang w:eastAsia="en-US"/>
              </w:rPr>
              <w:t>as</w:t>
            </w:r>
            <w:r>
              <w:rPr>
                <w:rFonts w:cs="Arial"/>
                <w:color w:val="000000"/>
                <w:lang w:eastAsia="en-US"/>
              </w:rPr>
              <w:t xml:space="preserve"> good, </w:t>
            </w:r>
            <w:r w:rsidR="00865414">
              <w:rPr>
                <w:rFonts w:cs="Arial"/>
                <w:color w:val="000000"/>
                <w:lang w:eastAsia="en-US"/>
              </w:rPr>
              <w:t>attainment was not in line with this.</w:t>
            </w:r>
          </w:p>
          <w:p w14:paraId="08611B7D" w14:textId="793D9547" w:rsidR="00DC3FE5" w:rsidRDefault="003B5EC8" w:rsidP="00242093">
            <w:pPr>
              <w:spacing w:before="60"/>
              <w:rPr>
                <w:rFonts w:cs="Arial"/>
                <w:color w:val="000000"/>
                <w:lang w:eastAsia="en-US"/>
              </w:rPr>
            </w:pPr>
            <w:r>
              <w:rPr>
                <w:rFonts w:cs="Arial"/>
                <w:color w:val="000000"/>
                <w:lang w:eastAsia="en-US"/>
              </w:rPr>
              <w:t xml:space="preserve">Analysis identified that </w:t>
            </w:r>
            <w:r w:rsidR="003A7070">
              <w:rPr>
                <w:rFonts w:cs="Arial"/>
                <w:color w:val="000000"/>
                <w:lang w:eastAsia="en-US"/>
              </w:rPr>
              <w:t>attendance of those in receipt</w:t>
            </w:r>
            <w:r>
              <w:rPr>
                <w:rFonts w:cs="Arial"/>
                <w:color w:val="000000"/>
                <w:lang w:eastAsia="en-US"/>
              </w:rPr>
              <w:t xml:space="preserve"> of PP funding was low when compared with similar schools nationally</w:t>
            </w:r>
            <w:r w:rsidR="00883FB1">
              <w:rPr>
                <w:rFonts w:cs="Arial"/>
                <w:color w:val="000000"/>
                <w:lang w:eastAsia="en-US"/>
              </w:rPr>
              <w:t xml:space="preserve"> and could be a barrier to attainment</w:t>
            </w:r>
            <w:r>
              <w:rPr>
                <w:rFonts w:cs="Arial"/>
                <w:color w:val="000000"/>
                <w:lang w:eastAsia="en-US"/>
              </w:rPr>
              <w:t xml:space="preserve">. This will inform next years PP spend and actions. </w:t>
            </w:r>
            <w:r w:rsidR="003A7070">
              <w:rPr>
                <w:rFonts w:cs="Arial"/>
                <w:color w:val="000000"/>
                <w:lang w:eastAsia="en-US"/>
              </w:rPr>
              <w:t xml:space="preserve"> </w:t>
            </w:r>
          </w:p>
          <w:p w14:paraId="0B9F0DAE" w14:textId="07674068" w:rsidR="003B5EC8" w:rsidRDefault="003B5EC8" w:rsidP="00242093">
            <w:pPr>
              <w:spacing w:before="60"/>
              <w:rPr>
                <w:rFonts w:cs="Arial"/>
                <w:color w:val="000000"/>
                <w:lang w:eastAsia="en-US"/>
              </w:rPr>
            </w:pPr>
            <w:r w:rsidRPr="003B5EC8">
              <w:rPr>
                <w:rFonts w:cs="Arial"/>
                <w:noProof/>
                <w:color w:val="000000"/>
                <w:lang w:eastAsia="en-US"/>
              </w:rPr>
              <w:drawing>
                <wp:inline distT="0" distB="0" distL="0" distR="0" wp14:anchorId="1F1E9759" wp14:editId="73A0E255">
                  <wp:extent cx="6029960" cy="1047115"/>
                  <wp:effectExtent l="0" t="0" r="889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029960" cy="1047115"/>
                          </a:xfrm>
                          <a:prstGeom prst="rect">
                            <a:avLst/>
                          </a:prstGeom>
                        </pic:spPr>
                      </pic:pic>
                    </a:graphicData>
                  </a:graphic>
                </wp:inline>
              </w:drawing>
            </w:r>
          </w:p>
          <w:p w14:paraId="5023926C" w14:textId="10684801" w:rsidR="003B5EC8" w:rsidRPr="00DC3FE5" w:rsidRDefault="003B5EC8" w:rsidP="00242093">
            <w:pPr>
              <w:spacing w:before="60"/>
              <w:rPr>
                <w:rFonts w:cs="Arial"/>
                <w:color w:val="000000"/>
                <w:lang w:eastAsia="en-US"/>
              </w:rPr>
            </w:pP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671"/>
        <w:gridCol w:w="144"/>
        <w:gridCol w:w="4671"/>
      </w:tblGrid>
      <w:tr w:rsidR="00E66558" w14:paraId="2A7D554C" w14:textId="77777777" w:rsidTr="3E0B6F72">
        <w:tc>
          <w:tcPr>
            <w:tcW w:w="4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CD1187" w14:paraId="2A7D554F" w14:textId="77777777" w:rsidTr="3E0B6F72">
        <w:trPr>
          <w:gridAfter w:val="2"/>
          <w:wAfter w:w="4815" w:type="dxa"/>
        </w:trPr>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413F27CE" w:rsidR="00CD1187" w:rsidRDefault="00CD1187" w:rsidP="00F54FCB">
            <w:pPr>
              <w:pStyle w:val="TableRowCentered"/>
              <w:ind w:left="0" w:right="0"/>
              <w:jc w:val="left"/>
            </w:pPr>
          </w:p>
        </w:tc>
      </w:tr>
      <w:tr w:rsidR="00E66558" w14:paraId="2A7D5552" w14:textId="77777777" w:rsidTr="3E0B6F72">
        <w:tc>
          <w:tcPr>
            <w:tcW w:w="4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77777777" w:rsidR="00E66558" w:rsidRDefault="00E66558" w:rsidP="00F54FCB">
            <w:pPr>
              <w:pStyle w:val="TableRow"/>
              <w:ind w:left="0" w:right="0"/>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77777777" w:rsidR="00E66558" w:rsidRDefault="00E66558" w:rsidP="00F54FCB">
            <w:pPr>
              <w:pStyle w:val="TableRowCentered"/>
              <w:ind w:left="0" w:right="0"/>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rsidP="00F54FCB"/>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rsidP="00F54FCB"/>
        </w:tc>
      </w:tr>
    </w:tbl>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29"/>
      <w:footerReference w:type="default" r:id="rId3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A0F6" w14:textId="77777777" w:rsidR="00CE2DAD" w:rsidRDefault="00CE2DAD">
      <w:pPr>
        <w:spacing w:after="0" w:line="240" w:lineRule="auto"/>
      </w:pPr>
      <w:r>
        <w:separator/>
      </w:r>
    </w:p>
  </w:endnote>
  <w:endnote w:type="continuationSeparator" w:id="0">
    <w:p w14:paraId="619646A5" w14:textId="77777777" w:rsidR="00CE2DAD" w:rsidRDefault="00CE2DAD">
      <w:pPr>
        <w:spacing w:after="0" w:line="240" w:lineRule="auto"/>
      </w:pPr>
      <w:r>
        <w:continuationSeparator/>
      </w:r>
    </w:p>
  </w:endnote>
  <w:endnote w:type="continuationNotice" w:id="1">
    <w:p w14:paraId="5A0E3C22" w14:textId="77777777" w:rsidR="00CE2DAD" w:rsidRDefault="00CE2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0B359325" w:rsidR="00C373EA" w:rsidRDefault="009D71E8">
    <w:pPr>
      <w:pStyle w:val="Footer"/>
      <w:ind w:firstLine="4513"/>
    </w:pPr>
    <w:r>
      <w:fldChar w:fldCharType="begin"/>
    </w:r>
    <w:r>
      <w:instrText xml:space="preserve"> PAGE </w:instrText>
    </w:r>
    <w:r>
      <w:fldChar w:fldCharType="separate"/>
    </w:r>
    <w:r w:rsidR="00F0104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04A6" w14:textId="77777777" w:rsidR="00CE2DAD" w:rsidRDefault="00CE2DAD">
      <w:pPr>
        <w:spacing w:after="0" w:line="240" w:lineRule="auto"/>
      </w:pPr>
      <w:r>
        <w:separator/>
      </w:r>
    </w:p>
  </w:footnote>
  <w:footnote w:type="continuationSeparator" w:id="0">
    <w:p w14:paraId="799F9F32" w14:textId="77777777" w:rsidR="00CE2DAD" w:rsidRDefault="00CE2DAD">
      <w:pPr>
        <w:spacing w:after="0" w:line="240" w:lineRule="auto"/>
      </w:pPr>
      <w:r>
        <w:continuationSeparator/>
      </w:r>
    </w:p>
  </w:footnote>
  <w:footnote w:type="continuationNotice" w:id="1">
    <w:p w14:paraId="73E365B9" w14:textId="77777777" w:rsidR="00CE2DAD" w:rsidRDefault="00CE2D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86FF"/>
    <w:multiLevelType w:val="hybridMultilevel"/>
    <w:tmpl w:val="8AB84EB0"/>
    <w:lvl w:ilvl="0" w:tplc="180C0E22">
      <w:start w:val="1"/>
      <w:numFmt w:val="bullet"/>
      <w:lvlText w:val=""/>
      <w:lvlJc w:val="left"/>
      <w:pPr>
        <w:ind w:left="-1692" w:hanging="360"/>
      </w:pPr>
      <w:rPr>
        <w:rFonts w:ascii="Symbol" w:hAnsi="Symbol" w:hint="default"/>
      </w:rPr>
    </w:lvl>
    <w:lvl w:ilvl="1" w:tplc="6A20D638">
      <w:start w:val="1"/>
      <w:numFmt w:val="bullet"/>
      <w:lvlText w:val="o"/>
      <w:lvlJc w:val="left"/>
      <w:pPr>
        <w:ind w:left="-972" w:hanging="360"/>
      </w:pPr>
      <w:rPr>
        <w:rFonts w:ascii="Courier New" w:hAnsi="Courier New" w:hint="default"/>
      </w:rPr>
    </w:lvl>
    <w:lvl w:ilvl="2" w:tplc="BCE65ECE">
      <w:start w:val="1"/>
      <w:numFmt w:val="bullet"/>
      <w:lvlText w:val=""/>
      <w:lvlJc w:val="left"/>
      <w:pPr>
        <w:ind w:left="-252" w:hanging="360"/>
      </w:pPr>
      <w:rPr>
        <w:rFonts w:ascii="Wingdings" w:hAnsi="Wingdings" w:hint="default"/>
      </w:rPr>
    </w:lvl>
    <w:lvl w:ilvl="3" w:tplc="7D4428BE">
      <w:start w:val="1"/>
      <w:numFmt w:val="bullet"/>
      <w:lvlText w:val=""/>
      <w:lvlJc w:val="left"/>
      <w:pPr>
        <w:ind w:left="468" w:hanging="360"/>
      </w:pPr>
      <w:rPr>
        <w:rFonts w:ascii="Symbol" w:hAnsi="Symbol" w:hint="default"/>
      </w:rPr>
    </w:lvl>
    <w:lvl w:ilvl="4" w:tplc="86AAC4E0">
      <w:start w:val="1"/>
      <w:numFmt w:val="bullet"/>
      <w:lvlText w:val="o"/>
      <w:lvlJc w:val="left"/>
      <w:pPr>
        <w:ind w:left="1188" w:hanging="360"/>
      </w:pPr>
      <w:rPr>
        <w:rFonts w:ascii="Courier New" w:hAnsi="Courier New" w:hint="default"/>
      </w:rPr>
    </w:lvl>
    <w:lvl w:ilvl="5" w:tplc="39C8F5F0">
      <w:start w:val="1"/>
      <w:numFmt w:val="bullet"/>
      <w:lvlText w:val=""/>
      <w:lvlJc w:val="left"/>
      <w:pPr>
        <w:ind w:left="1908" w:hanging="360"/>
      </w:pPr>
      <w:rPr>
        <w:rFonts w:ascii="Wingdings" w:hAnsi="Wingdings" w:hint="default"/>
      </w:rPr>
    </w:lvl>
    <w:lvl w:ilvl="6" w:tplc="7C3EEA10">
      <w:start w:val="1"/>
      <w:numFmt w:val="bullet"/>
      <w:lvlText w:val=""/>
      <w:lvlJc w:val="left"/>
      <w:pPr>
        <w:ind w:left="2628" w:hanging="360"/>
      </w:pPr>
      <w:rPr>
        <w:rFonts w:ascii="Symbol" w:hAnsi="Symbol" w:hint="default"/>
      </w:rPr>
    </w:lvl>
    <w:lvl w:ilvl="7" w:tplc="3006D302">
      <w:start w:val="1"/>
      <w:numFmt w:val="bullet"/>
      <w:lvlText w:val="o"/>
      <w:lvlJc w:val="left"/>
      <w:pPr>
        <w:ind w:left="3348" w:hanging="360"/>
      </w:pPr>
      <w:rPr>
        <w:rFonts w:ascii="Courier New" w:hAnsi="Courier New" w:hint="default"/>
      </w:rPr>
    </w:lvl>
    <w:lvl w:ilvl="8" w:tplc="A342BFF8">
      <w:start w:val="1"/>
      <w:numFmt w:val="bullet"/>
      <w:lvlText w:val=""/>
      <w:lvlJc w:val="left"/>
      <w:pPr>
        <w:ind w:left="4068"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F6453A"/>
    <w:multiLevelType w:val="hybridMultilevel"/>
    <w:tmpl w:val="0940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60239"/>
    <w:multiLevelType w:val="hybridMultilevel"/>
    <w:tmpl w:val="C21C3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2FFF313"/>
    <w:multiLevelType w:val="hybridMultilevel"/>
    <w:tmpl w:val="3DCAE3F6"/>
    <w:lvl w:ilvl="0" w:tplc="E9B2E852">
      <w:start w:val="1"/>
      <w:numFmt w:val="decimal"/>
      <w:lvlText w:val="•"/>
      <w:lvlJc w:val="left"/>
      <w:pPr>
        <w:ind w:left="720" w:hanging="360"/>
      </w:pPr>
    </w:lvl>
    <w:lvl w:ilvl="1" w:tplc="3404E1F0">
      <w:start w:val="1"/>
      <w:numFmt w:val="lowerLetter"/>
      <w:lvlText w:val="%2."/>
      <w:lvlJc w:val="left"/>
      <w:pPr>
        <w:ind w:left="1440" w:hanging="360"/>
      </w:pPr>
    </w:lvl>
    <w:lvl w:ilvl="2" w:tplc="4D984E22">
      <w:start w:val="1"/>
      <w:numFmt w:val="lowerRoman"/>
      <w:lvlText w:val="%3."/>
      <w:lvlJc w:val="right"/>
      <w:pPr>
        <w:ind w:left="2160" w:hanging="180"/>
      </w:pPr>
    </w:lvl>
    <w:lvl w:ilvl="3" w:tplc="FBA242A4">
      <w:start w:val="1"/>
      <w:numFmt w:val="decimal"/>
      <w:lvlText w:val="%4."/>
      <w:lvlJc w:val="left"/>
      <w:pPr>
        <w:ind w:left="2880" w:hanging="360"/>
      </w:pPr>
    </w:lvl>
    <w:lvl w:ilvl="4" w:tplc="0DD029D6">
      <w:start w:val="1"/>
      <w:numFmt w:val="lowerLetter"/>
      <w:lvlText w:val="%5."/>
      <w:lvlJc w:val="left"/>
      <w:pPr>
        <w:ind w:left="3600" w:hanging="360"/>
      </w:pPr>
    </w:lvl>
    <w:lvl w:ilvl="5" w:tplc="7D8AB02A">
      <w:start w:val="1"/>
      <w:numFmt w:val="lowerRoman"/>
      <w:lvlText w:val="%6."/>
      <w:lvlJc w:val="right"/>
      <w:pPr>
        <w:ind w:left="4320" w:hanging="180"/>
      </w:pPr>
    </w:lvl>
    <w:lvl w:ilvl="6" w:tplc="C456C782">
      <w:start w:val="1"/>
      <w:numFmt w:val="decimal"/>
      <w:lvlText w:val="%7."/>
      <w:lvlJc w:val="left"/>
      <w:pPr>
        <w:ind w:left="5040" w:hanging="360"/>
      </w:pPr>
    </w:lvl>
    <w:lvl w:ilvl="7" w:tplc="6178ADE4">
      <w:start w:val="1"/>
      <w:numFmt w:val="lowerLetter"/>
      <w:lvlText w:val="%8."/>
      <w:lvlJc w:val="left"/>
      <w:pPr>
        <w:ind w:left="5760" w:hanging="360"/>
      </w:pPr>
    </w:lvl>
    <w:lvl w:ilvl="8" w:tplc="A99C53F2">
      <w:start w:val="1"/>
      <w:numFmt w:val="lowerRoman"/>
      <w:lvlText w:val="%9."/>
      <w:lvlJc w:val="right"/>
      <w:pPr>
        <w:ind w:left="6480" w:hanging="180"/>
      </w:p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5"/>
  </w:num>
  <w:num w:numId="3">
    <w:abstractNumId w:val="6"/>
  </w:num>
  <w:num w:numId="4">
    <w:abstractNumId w:val="4"/>
  </w:num>
  <w:num w:numId="5">
    <w:abstractNumId w:val="7"/>
  </w:num>
  <w:num w:numId="6">
    <w:abstractNumId w:val="8"/>
  </w:num>
  <w:num w:numId="7">
    <w:abstractNumId w:val="1"/>
  </w:num>
  <w:num w:numId="8">
    <w:abstractNumId w:val="9"/>
  </w:num>
  <w:num w:numId="9">
    <w:abstractNumId w:val="16"/>
  </w:num>
  <w:num w:numId="10">
    <w:abstractNumId w:val="20"/>
  </w:num>
  <w:num w:numId="11">
    <w:abstractNumId w:val="18"/>
  </w:num>
  <w:num w:numId="12">
    <w:abstractNumId w:val="17"/>
  </w:num>
  <w:num w:numId="13">
    <w:abstractNumId w:val="5"/>
  </w:num>
  <w:num w:numId="14">
    <w:abstractNumId w:val="19"/>
  </w:num>
  <w:num w:numId="15">
    <w:abstractNumId w:val="14"/>
  </w:num>
  <w:num w:numId="16">
    <w:abstractNumId w:val="10"/>
  </w:num>
  <w:num w:numId="17">
    <w:abstractNumId w:val="3"/>
  </w:num>
  <w:num w:numId="18">
    <w:abstractNumId w:val="2"/>
  </w:num>
  <w:num w:numId="19">
    <w:abstractNumId w:val="11"/>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132E0"/>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5C4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1F41"/>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A6778"/>
    <w:rsid w:val="002B3574"/>
    <w:rsid w:val="002B6B74"/>
    <w:rsid w:val="002C6AE7"/>
    <w:rsid w:val="002D2D4B"/>
    <w:rsid w:val="002D3805"/>
    <w:rsid w:val="002D5C46"/>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A7070"/>
    <w:rsid w:val="003B14C1"/>
    <w:rsid w:val="003B2884"/>
    <w:rsid w:val="003B588A"/>
    <w:rsid w:val="003B5EC8"/>
    <w:rsid w:val="003B621D"/>
    <w:rsid w:val="003C4388"/>
    <w:rsid w:val="003C4615"/>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0BB3"/>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3BE8"/>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97FED"/>
    <w:rsid w:val="006A06F5"/>
    <w:rsid w:val="006A0ED2"/>
    <w:rsid w:val="006B0A73"/>
    <w:rsid w:val="006B32EE"/>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5414"/>
    <w:rsid w:val="008674ED"/>
    <w:rsid w:val="0087074C"/>
    <w:rsid w:val="00874913"/>
    <w:rsid w:val="00883F24"/>
    <w:rsid w:val="00883FB1"/>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4E22"/>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D1187"/>
    <w:rsid w:val="00CE2DAD"/>
    <w:rsid w:val="00CE6895"/>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7526B"/>
    <w:rsid w:val="00D81325"/>
    <w:rsid w:val="00D875ED"/>
    <w:rsid w:val="00D877D0"/>
    <w:rsid w:val="00D90013"/>
    <w:rsid w:val="00D91B9C"/>
    <w:rsid w:val="00D92C1B"/>
    <w:rsid w:val="00D92D89"/>
    <w:rsid w:val="00D94CC7"/>
    <w:rsid w:val="00D969CA"/>
    <w:rsid w:val="00D97901"/>
    <w:rsid w:val="00DA1AF4"/>
    <w:rsid w:val="00DB0C60"/>
    <w:rsid w:val="00DC3FE5"/>
    <w:rsid w:val="00DC641A"/>
    <w:rsid w:val="00DD21A1"/>
    <w:rsid w:val="00DD68FB"/>
    <w:rsid w:val="00DD6B7D"/>
    <w:rsid w:val="00DD6E14"/>
    <w:rsid w:val="00DE15AC"/>
    <w:rsid w:val="00DF2015"/>
    <w:rsid w:val="00E061EC"/>
    <w:rsid w:val="00E0696B"/>
    <w:rsid w:val="00E10E81"/>
    <w:rsid w:val="00E12DAC"/>
    <w:rsid w:val="00E13E51"/>
    <w:rsid w:val="00E21F56"/>
    <w:rsid w:val="00E3014F"/>
    <w:rsid w:val="00E4286E"/>
    <w:rsid w:val="00E43EAD"/>
    <w:rsid w:val="00E62DCB"/>
    <w:rsid w:val="00E646A5"/>
    <w:rsid w:val="00E651DD"/>
    <w:rsid w:val="00E66558"/>
    <w:rsid w:val="00E70D81"/>
    <w:rsid w:val="00E726A6"/>
    <w:rsid w:val="00E73418"/>
    <w:rsid w:val="00E8109E"/>
    <w:rsid w:val="00E85C23"/>
    <w:rsid w:val="00E86F05"/>
    <w:rsid w:val="00EA3A2A"/>
    <w:rsid w:val="00EA6B46"/>
    <w:rsid w:val="00EB1CCA"/>
    <w:rsid w:val="00EB4556"/>
    <w:rsid w:val="00EB4A11"/>
    <w:rsid w:val="00EB64C8"/>
    <w:rsid w:val="00ED4136"/>
    <w:rsid w:val="00ED5108"/>
    <w:rsid w:val="00ED6AE8"/>
    <w:rsid w:val="00EE291B"/>
    <w:rsid w:val="00EE2CB2"/>
    <w:rsid w:val="00EF485B"/>
    <w:rsid w:val="00EF5A6B"/>
    <w:rsid w:val="00F0104F"/>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B65A7"/>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9E4ECA1"/>
    <w:rsid w:val="0B240EAF"/>
    <w:rsid w:val="0D7F503E"/>
    <w:rsid w:val="113AB59C"/>
    <w:rsid w:val="1188D3EE"/>
    <w:rsid w:val="12BD0BF4"/>
    <w:rsid w:val="13173609"/>
    <w:rsid w:val="15511BA4"/>
    <w:rsid w:val="1A172959"/>
    <w:rsid w:val="1BEB1895"/>
    <w:rsid w:val="1C2DDBE8"/>
    <w:rsid w:val="1CBF4D92"/>
    <w:rsid w:val="2497129E"/>
    <w:rsid w:val="24A0E84F"/>
    <w:rsid w:val="25E2737C"/>
    <w:rsid w:val="2860AB8E"/>
    <w:rsid w:val="2F0CC6B9"/>
    <w:rsid w:val="2FFB967E"/>
    <w:rsid w:val="31103841"/>
    <w:rsid w:val="31CC4DD9"/>
    <w:rsid w:val="34044BC8"/>
    <w:rsid w:val="3742D9D4"/>
    <w:rsid w:val="380BAE89"/>
    <w:rsid w:val="3A3F1ACF"/>
    <w:rsid w:val="3ADF1494"/>
    <w:rsid w:val="3BE13FA2"/>
    <w:rsid w:val="3C5A6419"/>
    <w:rsid w:val="3C5B3B39"/>
    <w:rsid w:val="3D61234A"/>
    <w:rsid w:val="3E0B6F72"/>
    <w:rsid w:val="3EA4202B"/>
    <w:rsid w:val="407F390E"/>
    <w:rsid w:val="418407A1"/>
    <w:rsid w:val="41AEC63E"/>
    <w:rsid w:val="42A65E63"/>
    <w:rsid w:val="491E3A64"/>
    <w:rsid w:val="4B17747F"/>
    <w:rsid w:val="4BF69EA0"/>
    <w:rsid w:val="4CBD33DE"/>
    <w:rsid w:val="4DC3E842"/>
    <w:rsid w:val="513180B2"/>
    <w:rsid w:val="53EB7AEE"/>
    <w:rsid w:val="55F77547"/>
    <w:rsid w:val="5726C435"/>
    <w:rsid w:val="586D1BB0"/>
    <w:rsid w:val="5C40C457"/>
    <w:rsid w:val="5F3A7B6B"/>
    <w:rsid w:val="616C9785"/>
    <w:rsid w:val="617B4808"/>
    <w:rsid w:val="625D1A15"/>
    <w:rsid w:val="6330D31C"/>
    <w:rsid w:val="65558F7F"/>
    <w:rsid w:val="6822CDFD"/>
    <w:rsid w:val="6948C1C2"/>
    <w:rsid w:val="6D28B1AF"/>
    <w:rsid w:val="6D616F43"/>
    <w:rsid w:val="6EB73EE5"/>
    <w:rsid w:val="6FCB579C"/>
    <w:rsid w:val="709C33EC"/>
    <w:rsid w:val="735BC6FA"/>
    <w:rsid w:val="74255097"/>
    <w:rsid w:val="784C5879"/>
    <w:rsid w:val="796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7"/>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6"/>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10"/>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5"/>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8"/>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9"/>
      </w:numPr>
      <w:contextualSpacing/>
    </w:pPr>
  </w:style>
  <w:style w:type="paragraph" w:customStyle="1" w:styleId="DfESOutNumbered">
    <w:name w:val="DfESOutNumbered"/>
    <w:basedOn w:val="Normal"/>
    <w:pPr>
      <w:widowControl w:val="0"/>
      <w:numPr>
        <w:numId w:val="11"/>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2"/>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3"/>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6">
    <w:name w:val="LFO6"/>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25">
    <w:name w:val="LFO25"/>
    <w:basedOn w:val="NoList"/>
    <w:pPr>
      <w:numPr>
        <w:numId w:val="10"/>
      </w:numPr>
    </w:pPr>
  </w:style>
  <w:style w:type="numbering" w:customStyle="1" w:styleId="LFO28">
    <w:name w:val="LFO28"/>
    <w:basedOn w:val="NoList"/>
    <w:pPr>
      <w:numPr>
        <w:numId w:val="11"/>
      </w:numPr>
    </w:pPr>
  </w:style>
  <w:style w:type="numbering" w:customStyle="1" w:styleId="LFO30">
    <w:name w:val="LFO30"/>
    <w:basedOn w:val="NoList"/>
    <w:pPr>
      <w:numPr>
        <w:numId w:val="12"/>
      </w:numPr>
    </w:pPr>
  </w:style>
  <w:style w:type="numbering" w:customStyle="1" w:styleId="LFO34">
    <w:name w:val="LFO34"/>
    <w:basedOn w:val="NoList"/>
    <w:pPr>
      <w:numPr>
        <w:numId w:val="13"/>
      </w:numPr>
    </w:pPr>
  </w:style>
  <w:style w:type="numbering" w:customStyle="1" w:styleId="LFO36">
    <w:name w:val="LFO36"/>
    <w:basedOn w:val="NoList"/>
    <w:pPr>
      <w:numPr>
        <w:numId w:val="14"/>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character" w:styleId="UnresolvedMention">
    <w:name w:val="Unresolved Mention"/>
    <w:basedOn w:val="DefaultParagraphFont"/>
    <w:uiPriority w:val="99"/>
    <w:semiHidden/>
    <w:unhideWhenUsed/>
    <w:rsid w:val="00D75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cf69384239310011b7b91f/Using_Pupil_Premium_-_Guidance_for_School_Leaders.pdf" TargetMode="Externa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mastery-learning" TargetMode="External"/><Relationship Id="rId7" Type="http://schemas.openxmlformats.org/officeDocument/2006/relationships/hyperlink" Target="https://educationendowmentfoundation.org.uk/education-evidence/using-pupil-premium" TargetMode="External"/><Relationship Id="rId12" Type="http://schemas.openxmlformats.org/officeDocument/2006/relationships/hyperlink" Target="https://educationendowmentfoundation.org.uk/education-evidence/teaching-learning-toolkit/metacognition-and-self-regulation" TargetMode="External"/><Relationship Id="rId17" Type="http://schemas.openxmlformats.org/officeDocument/2006/relationships/hyperlink" Target="https://educationendowmentfoundation.org.uk/education-evidence/teaching-learning-toolkit/collaborative-learning-approaches" TargetMode="External"/><Relationship Id="rId25" Type="http://schemas.openxmlformats.org/officeDocument/2006/relationships/hyperlink" Target="https://educationendowmentfoundation.org.uk/education-evidence/leadership-and-planning/supporting-attendance"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reading-comprehension-strategies" TargetMode="External"/><Relationship Id="rId23" Type="http://schemas.openxmlformats.org/officeDocument/2006/relationships/hyperlink" Target="https://educationendowmentfoundation.org.uk/education-evidence/teaching-learning-toolkit/parental-engagement" TargetMode="External"/><Relationship Id="rId28" Type="http://schemas.openxmlformats.org/officeDocument/2006/relationships/image" Target="media/image10.png"/><Relationship Id="rId10" Type="http://schemas.openxmlformats.org/officeDocument/2006/relationships/hyperlink" Target="https://assets.publishing.service.gov.uk/media/65cf69384239310011b7b91f/Using_Pupil_Premium_-_Guidance_for_School_Leaders.pdf" TargetMode="External"/><Relationship Id="rId19" Type="http://schemas.openxmlformats.org/officeDocument/2006/relationships/hyperlink" Target="https://educationendowmentfoundation.org.uk/education-evidence/teaching-learning-toolkit/social-and-emotional-learni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endowmentfoundation.org.uk/education-evidence/using-pupil-premium"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educationendowmentfoundation.org.uk/education-evidence/evidence-reviews/attendance-interventions-rapid-evidence-assessmen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Little Leigh Primary Head</cp:lastModifiedBy>
  <cp:revision>2</cp:revision>
  <cp:lastPrinted>2014-09-18T05:26:00Z</cp:lastPrinted>
  <dcterms:created xsi:type="dcterms:W3CDTF">2025-01-07T13:51:00Z</dcterms:created>
  <dcterms:modified xsi:type="dcterms:W3CDTF">2025-01-07T13:51:00Z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